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CE94" w14:textId="4D4B01F0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LAPORAN RENCANA AKSI NASIONAL OPEN GOVERNMENT INDONESIA</w:t>
      </w:r>
    </w:p>
    <w:p w14:paraId="51963AFD" w14:textId="3C91CC78" w:rsidR="00654A58" w:rsidRPr="00940BFE" w:rsidRDefault="00654A58" w:rsidP="00940BFE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BADAN PEMBINAAN HUKUM NASIONAL</w:t>
      </w:r>
    </w:p>
    <w:p w14:paraId="6E401D33" w14:textId="3FF5FC47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“</w:t>
      </w:r>
      <w:proofErr w:type="spellStart"/>
      <w:r w:rsidR="002302F6" w:rsidRPr="002302F6">
        <w:rPr>
          <w:rFonts w:ascii="Arial" w:hAnsi="Arial" w:cs="Arial"/>
          <w:b/>
          <w:bCs/>
        </w:rPr>
        <w:t>Perluasan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Akses dan </w:t>
      </w:r>
      <w:proofErr w:type="spellStart"/>
      <w:r w:rsidR="002302F6" w:rsidRPr="002302F6">
        <w:rPr>
          <w:rFonts w:ascii="Arial" w:hAnsi="Arial" w:cs="Arial"/>
          <w:b/>
          <w:bCs/>
        </w:rPr>
        <w:t>Kapasitas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Layanan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Bantuan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Hukum</w:t>
      </w:r>
      <w:r w:rsidRPr="00940BFE">
        <w:rPr>
          <w:rFonts w:ascii="Arial" w:hAnsi="Arial" w:cs="Arial"/>
          <w:b/>
          <w:bCs/>
        </w:rPr>
        <w:t>”</w:t>
      </w:r>
    </w:p>
    <w:p w14:paraId="0DAA3C38" w14:textId="56D4F74D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43201F56" w14:textId="77777777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12E49F71" w14:textId="6BDF8900" w:rsidR="00940BFE" w:rsidRDefault="00654A58" w:rsidP="002302F6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Sasaran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proofErr w:type="spellStart"/>
      <w:r w:rsidR="002302F6" w:rsidRPr="002302F6">
        <w:rPr>
          <w:rFonts w:ascii="Arial" w:hAnsi="Arial" w:cs="Arial"/>
          <w:b/>
          <w:bCs/>
        </w:rPr>
        <w:t>Perluasan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Akses dan </w:t>
      </w:r>
      <w:proofErr w:type="spellStart"/>
      <w:r w:rsidR="002302F6" w:rsidRPr="002302F6">
        <w:rPr>
          <w:rFonts w:ascii="Arial" w:hAnsi="Arial" w:cs="Arial"/>
          <w:b/>
          <w:bCs/>
        </w:rPr>
        <w:t>Kapasitas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Layanan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Bantuan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Hukum</w:t>
      </w:r>
    </w:p>
    <w:p w14:paraId="040F7724" w14:textId="77777777" w:rsidR="004511EC" w:rsidRDefault="00654A58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Ukuran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proofErr w:type="spellStart"/>
      <w:r w:rsidR="004511EC" w:rsidRPr="004511EC">
        <w:rPr>
          <w:rFonts w:ascii="Arial" w:hAnsi="Arial" w:cs="Arial"/>
          <w:b/>
          <w:bCs/>
        </w:rPr>
        <w:t>Terimplementasinya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</w:t>
      </w:r>
      <w:proofErr w:type="spellStart"/>
      <w:r w:rsidR="004511EC" w:rsidRPr="004511EC">
        <w:rPr>
          <w:rFonts w:ascii="Arial" w:hAnsi="Arial" w:cs="Arial"/>
          <w:b/>
          <w:bCs/>
        </w:rPr>
        <w:t>Standar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</w:t>
      </w:r>
      <w:proofErr w:type="spellStart"/>
      <w:r w:rsidR="004511EC" w:rsidRPr="004511EC">
        <w:rPr>
          <w:rFonts w:ascii="Arial" w:hAnsi="Arial" w:cs="Arial"/>
          <w:b/>
          <w:bCs/>
        </w:rPr>
        <w:t>Layanan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</w:t>
      </w:r>
      <w:proofErr w:type="spellStart"/>
      <w:r w:rsidR="004511EC" w:rsidRPr="004511EC">
        <w:rPr>
          <w:rFonts w:ascii="Arial" w:hAnsi="Arial" w:cs="Arial"/>
          <w:b/>
          <w:bCs/>
        </w:rPr>
        <w:t>Bantuan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Hukum oleh </w:t>
      </w:r>
      <w:proofErr w:type="spellStart"/>
      <w:r w:rsidR="004511EC" w:rsidRPr="004511EC">
        <w:rPr>
          <w:rFonts w:ascii="Arial" w:hAnsi="Arial" w:cs="Arial"/>
          <w:b/>
          <w:bCs/>
        </w:rPr>
        <w:t>Organisasi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</w:t>
      </w:r>
      <w:proofErr w:type="spellStart"/>
      <w:r w:rsidR="004511EC" w:rsidRPr="004511EC">
        <w:rPr>
          <w:rFonts w:ascii="Arial" w:hAnsi="Arial" w:cs="Arial"/>
          <w:b/>
          <w:bCs/>
        </w:rPr>
        <w:t>Bantuan</w:t>
      </w:r>
      <w:proofErr w:type="spellEnd"/>
      <w:r w:rsidR="004511EC" w:rsidRPr="004511EC">
        <w:rPr>
          <w:rFonts w:ascii="Arial" w:hAnsi="Arial" w:cs="Arial"/>
          <w:b/>
          <w:bCs/>
        </w:rPr>
        <w:t xml:space="preserve"> Hukum</w:t>
      </w:r>
    </w:p>
    <w:p w14:paraId="5A98A5E0" w14:textId="24B46F16" w:rsidR="00FF0AD9" w:rsidRDefault="00FF0AD9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B12 (2021)</w:t>
      </w:r>
      <w:r>
        <w:rPr>
          <w:rFonts w:ascii="Arial" w:hAnsi="Arial" w:cs="Arial"/>
          <w:b/>
          <w:bCs/>
        </w:rPr>
        <w:tab/>
        <w:t>:</w:t>
      </w:r>
      <w:r>
        <w:rPr>
          <w:rFonts w:ascii="Arial" w:hAnsi="Arial" w:cs="Arial"/>
          <w:b/>
          <w:bCs/>
        </w:rPr>
        <w:tab/>
      </w:r>
      <w:proofErr w:type="spellStart"/>
      <w:r w:rsidR="00E93D58" w:rsidRPr="00E93D58">
        <w:rPr>
          <w:rFonts w:ascii="Arial" w:hAnsi="Arial" w:cs="Arial"/>
          <w:b/>
          <w:bCs/>
        </w:rPr>
        <w:t>Sosialisasi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Peraturan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Menteri Hukum dan HAM </w:t>
      </w:r>
      <w:proofErr w:type="spellStart"/>
      <w:r w:rsidR="00E93D58" w:rsidRPr="00E93D58">
        <w:rPr>
          <w:rFonts w:ascii="Arial" w:hAnsi="Arial" w:cs="Arial"/>
          <w:b/>
          <w:bCs/>
        </w:rPr>
        <w:t>terkait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Standar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Layanan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Bantuan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Hukum</w:t>
      </w:r>
      <w:r w:rsidR="00E93D58">
        <w:rPr>
          <w:rFonts w:ascii="Arial" w:hAnsi="Arial" w:cs="Arial"/>
          <w:b/>
          <w:bCs/>
        </w:rPr>
        <w:t xml:space="preserve"> dan</w:t>
      </w:r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Pedoman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Standar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Layanan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</w:t>
      </w:r>
      <w:proofErr w:type="spellStart"/>
      <w:r w:rsidR="00E93D58" w:rsidRPr="00E93D58">
        <w:rPr>
          <w:rFonts w:ascii="Arial" w:hAnsi="Arial" w:cs="Arial"/>
          <w:b/>
          <w:bCs/>
        </w:rPr>
        <w:t>Bantuan</w:t>
      </w:r>
      <w:proofErr w:type="spellEnd"/>
      <w:r w:rsidR="00E93D58" w:rsidRPr="00E93D58">
        <w:rPr>
          <w:rFonts w:ascii="Arial" w:hAnsi="Arial" w:cs="Arial"/>
          <w:b/>
          <w:bCs/>
        </w:rPr>
        <w:t xml:space="preserve"> Hukum</w:t>
      </w:r>
    </w:p>
    <w:p w14:paraId="0FC29CF4" w14:textId="380BE9E6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00FC5B5C" w14:textId="6C499590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3A54DD86" w14:textId="0B5CC62C" w:rsidR="009A7C3E" w:rsidRDefault="0025451E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</w:t>
      </w:r>
      <w:r w:rsidRPr="0025451E">
        <w:rPr>
          <w:rFonts w:ascii="Arial" w:hAnsi="Arial" w:cs="Arial"/>
        </w:rPr>
        <w:t>antuan</w:t>
      </w:r>
      <w:proofErr w:type="spellEnd"/>
      <w:r w:rsidRPr="002545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 w:rsidRPr="0025451E">
        <w:rPr>
          <w:rFonts w:ascii="Arial" w:hAnsi="Arial" w:cs="Arial"/>
        </w:rPr>
        <w:t xml:space="preserve">ukum </w:t>
      </w:r>
      <w:proofErr w:type="spellStart"/>
      <w:r w:rsidRPr="0025451E">
        <w:rPr>
          <w:rFonts w:ascii="Arial" w:hAnsi="Arial" w:cs="Arial"/>
        </w:rPr>
        <w:t>bagi</w:t>
      </w:r>
      <w:proofErr w:type="spellEnd"/>
      <w:r w:rsidRPr="0025451E">
        <w:rPr>
          <w:rFonts w:ascii="Arial" w:hAnsi="Arial" w:cs="Arial"/>
        </w:rPr>
        <w:t xml:space="preserve"> orang miskin sangat </w:t>
      </w:r>
      <w:proofErr w:type="spellStart"/>
      <w:r w:rsidRPr="0025451E">
        <w:rPr>
          <w:rFonts w:ascii="Arial" w:hAnsi="Arial" w:cs="Arial"/>
        </w:rPr>
        <w:t>penting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artinya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dalam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konteks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membuka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akses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terhadap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keadilan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Jumlah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 di Indonesia dan </w:t>
      </w:r>
      <w:proofErr w:type="spellStart"/>
      <w:r w:rsidRPr="0025451E">
        <w:rPr>
          <w:rFonts w:ascii="Arial" w:hAnsi="Arial" w:cs="Arial"/>
        </w:rPr>
        <w:t>sebarannya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tidak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merata</w:t>
      </w:r>
      <w:proofErr w:type="spellEnd"/>
      <w:r w:rsidRPr="0025451E">
        <w:rPr>
          <w:rFonts w:ascii="Arial" w:hAnsi="Arial" w:cs="Arial"/>
        </w:rPr>
        <w:t xml:space="preserve"> di </w:t>
      </w:r>
      <w:proofErr w:type="spellStart"/>
      <w:r w:rsidRPr="0025451E">
        <w:rPr>
          <w:rFonts w:ascii="Arial" w:hAnsi="Arial" w:cs="Arial"/>
        </w:rPr>
        <w:t>tiap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daerah</w:t>
      </w:r>
      <w:proofErr w:type="spellEnd"/>
      <w:r w:rsidRPr="0025451E">
        <w:rPr>
          <w:rFonts w:ascii="Arial" w:hAnsi="Arial" w:cs="Arial"/>
        </w:rPr>
        <w:t xml:space="preserve">. </w:t>
      </w:r>
      <w:proofErr w:type="spellStart"/>
      <w:r w:rsidRPr="0025451E">
        <w:rPr>
          <w:rFonts w:ascii="Arial" w:hAnsi="Arial" w:cs="Arial"/>
        </w:rPr>
        <w:t>Faktanya</w:t>
      </w:r>
      <w:proofErr w:type="spellEnd"/>
      <w:r w:rsidRPr="0025451E">
        <w:rPr>
          <w:rFonts w:ascii="Arial" w:hAnsi="Arial" w:cs="Arial"/>
        </w:rPr>
        <w:t xml:space="preserve">, </w:t>
      </w:r>
      <w:proofErr w:type="spellStart"/>
      <w:r w:rsidRPr="0025451E">
        <w:rPr>
          <w:rFonts w:ascii="Arial" w:hAnsi="Arial" w:cs="Arial"/>
        </w:rPr>
        <w:t>banyak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daerah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kabupaten</w:t>
      </w:r>
      <w:proofErr w:type="spellEnd"/>
      <w:r w:rsidRPr="0025451E">
        <w:rPr>
          <w:rFonts w:ascii="Arial" w:hAnsi="Arial" w:cs="Arial"/>
        </w:rPr>
        <w:t>/</w:t>
      </w:r>
      <w:proofErr w:type="spellStart"/>
      <w:r w:rsidRPr="0025451E">
        <w:rPr>
          <w:rFonts w:ascii="Arial" w:hAnsi="Arial" w:cs="Arial"/>
        </w:rPr>
        <w:t>kota</w:t>
      </w:r>
      <w:proofErr w:type="spellEnd"/>
      <w:r w:rsidRPr="0025451E">
        <w:rPr>
          <w:rFonts w:ascii="Arial" w:hAnsi="Arial" w:cs="Arial"/>
        </w:rPr>
        <w:t xml:space="preserve"> yang </w:t>
      </w:r>
      <w:proofErr w:type="spellStart"/>
      <w:r w:rsidRPr="0025451E">
        <w:rPr>
          <w:rFonts w:ascii="Arial" w:hAnsi="Arial" w:cs="Arial"/>
        </w:rPr>
        <w:t>tak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memiliki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jumlah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memadai</w:t>
      </w:r>
      <w:proofErr w:type="spellEnd"/>
      <w:r w:rsidRPr="0025451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Mengacu</w:t>
      </w:r>
      <w:proofErr w:type="spellEnd"/>
      <w:r w:rsidR="008747BC" w:rsidRPr="008747BC">
        <w:rPr>
          <w:rFonts w:ascii="Arial" w:hAnsi="Arial" w:cs="Arial"/>
        </w:rPr>
        <w:t xml:space="preserve"> pada data </w:t>
      </w:r>
      <w:proofErr w:type="spellStart"/>
      <w:r w:rsidR="008747BC" w:rsidRPr="008747BC">
        <w:rPr>
          <w:rFonts w:ascii="Arial" w:hAnsi="Arial" w:cs="Arial"/>
        </w:rPr>
        <w:t>jumlah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advokat</w:t>
      </w:r>
      <w:proofErr w:type="spellEnd"/>
      <w:r w:rsidR="008747BC" w:rsidRPr="008747BC">
        <w:rPr>
          <w:rFonts w:ascii="Arial" w:hAnsi="Arial" w:cs="Arial"/>
        </w:rPr>
        <w:t xml:space="preserve"> yang </w:t>
      </w:r>
      <w:proofErr w:type="spellStart"/>
      <w:r w:rsidR="008747BC" w:rsidRPr="008747BC">
        <w:rPr>
          <w:rFonts w:ascii="Arial" w:hAnsi="Arial" w:cs="Arial"/>
        </w:rPr>
        <w:t>terlibat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dalam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pemberian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B</w:t>
      </w:r>
      <w:r w:rsidR="008747BC" w:rsidRPr="008747BC">
        <w:rPr>
          <w:rFonts w:ascii="Arial" w:hAnsi="Arial" w:cs="Arial"/>
        </w:rPr>
        <w:t>antuan</w:t>
      </w:r>
      <w:proofErr w:type="spellEnd"/>
      <w:r w:rsidR="008747BC" w:rsidRPr="008747BC">
        <w:rPr>
          <w:rFonts w:ascii="Arial" w:hAnsi="Arial" w:cs="Arial"/>
        </w:rPr>
        <w:t xml:space="preserve"> </w:t>
      </w:r>
      <w:r w:rsidR="008747BC">
        <w:rPr>
          <w:rFonts w:ascii="Arial" w:hAnsi="Arial" w:cs="Arial"/>
        </w:rPr>
        <w:t>H</w:t>
      </w:r>
      <w:r w:rsidR="008747BC" w:rsidRPr="008747BC">
        <w:rPr>
          <w:rFonts w:ascii="Arial" w:hAnsi="Arial" w:cs="Arial"/>
        </w:rPr>
        <w:t xml:space="preserve">ukum yang </w:t>
      </w:r>
      <w:proofErr w:type="spellStart"/>
      <w:r w:rsidR="008747BC" w:rsidRPr="008747BC">
        <w:rPr>
          <w:rFonts w:ascii="Arial" w:hAnsi="Arial" w:cs="Arial"/>
        </w:rPr>
        <w:t>terakreditasi</w:t>
      </w:r>
      <w:proofErr w:type="spellEnd"/>
      <w:r w:rsidR="008747BC" w:rsidRPr="008747BC">
        <w:rPr>
          <w:rFonts w:ascii="Arial" w:hAnsi="Arial" w:cs="Arial"/>
        </w:rPr>
        <w:t xml:space="preserve"> di Kementerian Hukum dan HAM (</w:t>
      </w:r>
      <w:proofErr w:type="spellStart"/>
      <w:r w:rsidR="008747BC" w:rsidRPr="008747BC">
        <w:rPr>
          <w:rFonts w:ascii="Arial" w:hAnsi="Arial" w:cs="Arial"/>
        </w:rPr>
        <w:t>Kemenkumham</w:t>
      </w:r>
      <w:proofErr w:type="spellEnd"/>
      <w:r w:rsidR="008747BC" w:rsidRPr="008747BC">
        <w:rPr>
          <w:rFonts w:ascii="Arial" w:hAnsi="Arial" w:cs="Arial"/>
        </w:rPr>
        <w:t xml:space="preserve">) </w:t>
      </w:r>
      <w:proofErr w:type="spellStart"/>
      <w:r w:rsidR="008747BC" w:rsidRPr="008747BC">
        <w:rPr>
          <w:rFonts w:ascii="Arial" w:hAnsi="Arial" w:cs="Arial"/>
        </w:rPr>
        <w:t>cq</w:t>
      </w:r>
      <w:proofErr w:type="spellEnd"/>
      <w:r w:rsidR="008747BC" w:rsidRPr="008747BC">
        <w:rPr>
          <w:rFonts w:ascii="Arial" w:hAnsi="Arial" w:cs="Arial"/>
        </w:rPr>
        <w:t xml:space="preserve">. Badan </w:t>
      </w:r>
      <w:proofErr w:type="spellStart"/>
      <w:r w:rsidR="008747BC" w:rsidRPr="008747BC">
        <w:rPr>
          <w:rFonts w:ascii="Arial" w:hAnsi="Arial" w:cs="Arial"/>
        </w:rPr>
        <w:t>Pembinaan</w:t>
      </w:r>
      <w:proofErr w:type="spellEnd"/>
      <w:r w:rsidR="008747BC" w:rsidRPr="008747BC">
        <w:rPr>
          <w:rFonts w:ascii="Arial" w:hAnsi="Arial" w:cs="Arial"/>
        </w:rPr>
        <w:t xml:space="preserve"> Hukum Nasional (BPHN), </w:t>
      </w:r>
      <w:proofErr w:type="spellStart"/>
      <w:r w:rsidR="008747BC" w:rsidRPr="008747BC">
        <w:rPr>
          <w:rFonts w:ascii="Arial" w:hAnsi="Arial" w:cs="Arial"/>
        </w:rPr>
        <w:t>sampai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dengan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Tahun</w:t>
      </w:r>
      <w:proofErr w:type="spellEnd"/>
      <w:r w:rsidR="008747BC" w:rsidRPr="008747BC">
        <w:rPr>
          <w:rFonts w:ascii="Arial" w:hAnsi="Arial" w:cs="Arial"/>
        </w:rPr>
        <w:t xml:space="preserve"> 202</w:t>
      </w:r>
      <w:r w:rsidR="008747BC">
        <w:rPr>
          <w:rFonts w:ascii="Arial" w:hAnsi="Arial" w:cs="Arial"/>
        </w:rPr>
        <w:t>1</w:t>
      </w:r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telah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terjaring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sebanyak</w:t>
      </w:r>
      <w:proofErr w:type="spellEnd"/>
      <w:r w:rsidR="008747BC" w:rsidRPr="008747BC">
        <w:rPr>
          <w:rFonts w:ascii="Arial" w:hAnsi="Arial" w:cs="Arial"/>
        </w:rPr>
        <w:t xml:space="preserve"> 524 PBH </w:t>
      </w:r>
      <w:proofErr w:type="spellStart"/>
      <w:r w:rsidR="008747BC" w:rsidRPr="008747BC">
        <w:rPr>
          <w:rFonts w:ascii="Arial" w:hAnsi="Arial" w:cs="Arial"/>
        </w:rPr>
        <w:t>terakreditasi</w:t>
      </w:r>
      <w:proofErr w:type="spellEnd"/>
      <w:r w:rsidR="008747BC" w:rsidRPr="008747BC">
        <w:rPr>
          <w:rFonts w:ascii="Arial" w:hAnsi="Arial" w:cs="Arial"/>
        </w:rPr>
        <w:t xml:space="preserve"> yang di </w:t>
      </w:r>
      <w:proofErr w:type="spellStart"/>
      <w:r w:rsidR="008747BC" w:rsidRPr="008747BC">
        <w:rPr>
          <w:rFonts w:ascii="Arial" w:hAnsi="Arial" w:cs="Arial"/>
        </w:rPr>
        <w:t>dalamnya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terdapat</w:t>
      </w:r>
      <w:proofErr w:type="spellEnd"/>
      <w:r w:rsidR="008747BC" w:rsidRPr="008747BC">
        <w:rPr>
          <w:rFonts w:ascii="Arial" w:hAnsi="Arial" w:cs="Arial"/>
        </w:rPr>
        <w:t xml:space="preserve"> 4.300 </w:t>
      </w:r>
      <w:proofErr w:type="spellStart"/>
      <w:r w:rsidR="008747BC" w:rsidRPr="008747BC">
        <w:rPr>
          <w:rFonts w:ascii="Arial" w:hAnsi="Arial" w:cs="Arial"/>
        </w:rPr>
        <w:t>Advokat</w:t>
      </w:r>
      <w:proofErr w:type="spellEnd"/>
      <w:r w:rsidR="008747BC" w:rsidRPr="008747BC">
        <w:rPr>
          <w:rFonts w:ascii="Arial" w:hAnsi="Arial" w:cs="Arial"/>
        </w:rPr>
        <w:t xml:space="preserve">. </w:t>
      </w:r>
    </w:p>
    <w:p w14:paraId="6C78CDCF" w14:textId="36DD786A" w:rsidR="008747BC" w:rsidRDefault="0025451E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Jumlah</w:t>
      </w:r>
      <w:proofErr w:type="spellEnd"/>
      <w:r w:rsidR="008747BC" w:rsidRPr="008747BC">
        <w:rPr>
          <w:rFonts w:ascii="Arial" w:hAnsi="Arial" w:cs="Arial"/>
        </w:rPr>
        <w:t xml:space="preserve"> 524 PBH </w:t>
      </w:r>
      <w:proofErr w:type="spellStart"/>
      <w:r w:rsidR="008747BC" w:rsidRPr="008747BC">
        <w:rPr>
          <w:rFonts w:ascii="Arial" w:hAnsi="Arial" w:cs="Arial"/>
        </w:rPr>
        <w:t>tersebut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belum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merata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disetiap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Kabupaten</w:t>
      </w:r>
      <w:proofErr w:type="spellEnd"/>
      <w:r w:rsidR="008747BC" w:rsidRPr="008747BC">
        <w:rPr>
          <w:rFonts w:ascii="Arial" w:hAnsi="Arial" w:cs="Arial"/>
        </w:rPr>
        <w:t xml:space="preserve">/Kota, </w:t>
      </w:r>
      <w:proofErr w:type="spellStart"/>
      <w:r w:rsidR="008747BC" w:rsidRPr="008747BC">
        <w:rPr>
          <w:rFonts w:ascii="Arial" w:hAnsi="Arial" w:cs="Arial"/>
        </w:rPr>
        <w:t>melainkan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baru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tersebar</w:t>
      </w:r>
      <w:proofErr w:type="spellEnd"/>
      <w:r w:rsidR="008747BC" w:rsidRPr="008747BC">
        <w:rPr>
          <w:rFonts w:ascii="Arial" w:hAnsi="Arial" w:cs="Arial"/>
        </w:rPr>
        <w:t xml:space="preserve"> di 215 </w:t>
      </w:r>
      <w:proofErr w:type="spellStart"/>
      <w:r w:rsidR="008747BC" w:rsidRPr="008747BC">
        <w:rPr>
          <w:rFonts w:ascii="Arial" w:hAnsi="Arial" w:cs="Arial"/>
        </w:rPr>
        <w:t>Kabupaten</w:t>
      </w:r>
      <w:proofErr w:type="spellEnd"/>
      <w:r w:rsidR="008747BC" w:rsidRPr="008747BC">
        <w:rPr>
          <w:rFonts w:ascii="Arial" w:hAnsi="Arial" w:cs="Arial"/>
        </w:rPr>
        <w:t xml:space="preserve">/Kota, </w:t>
      </w:r>
      <w:proofErr w:type="spellStart"/>
      <w:r w:rsidR="008747BC" w:rsidRPr="008747BC">
        <w:rPr>
          <w:rFonts w:ascii="Arial" w:hAnsi="Arial" w:cs="Arial"/>
        </w:rPr>
        <w:t>artinya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baru</w:t>
      </w:r>
      <w:proofErr w:type="spellEnd"/>
      <w:r w:rsidR="008747BC" w:rsidRPr="008747BC">
        <w:rPr>
          <w:rFonts w:ascii="Arial" w:hAnsi="Arial" w:cs="Arial"/>
        </w:rPr>
        <w:t xml:space="preserve"> 42% </w:t>
      </w:r>
      <w:proofErr w:type="spellStart"/>
      <w:r w:rsidR="008747BC" w:rsidRPr="008747BC">
        <w:rPr>
          <w:rFonts w:ascii="Arial" w:hAnsi="Arial" w:cs="Arial"/>
        </w:rPr>
        <w:t>Kabupaten</w:t>
      </w:r>
      <w:proofErr w:type="spellEnd"/>
      <w:r w:rsidR="008747BC" w:rsidRPr="008747BC">
        <w:rPr>
          <w:rFonts w:ascii="Arial" w:hAnsi="Arial" w:cs="Arial"/>
        </w:rPr>
        <w:t xml:space="preserve">/Kota yang </w:t>
      </w:r>
      <w:proofErr w:type="spellStart"/>
      <w:r w:rsidR="008747BC" w:rsidRPr="008747BC">
        <w:rPr>
          <w:rFonts w:ascii="Arial" w:hAnsi="Arial" w:cs="Arial"/>
        </w:rPr>
        <w:t>memiliki</w:t>
      </w:r>
      <w:proofErr w:type="spellEnd"/>
      <w:r w:rsidR="008747BC" w:rsidRPr="008747BC">
        <w:rPr>
          <w:rFonts w:ascii="Arial" w:hAnsi="Arial" w:cs="Arial"/>
        </w:rPr>
        <w:t xml:space="preserve"> PBH </w:t>
      </w:r>
      <w:proofErr w:type="spellStart"/>
      <w:r w:rsidR="008747BC" w:rsidRPr="008747BC">
        <w:rPr>
          <w:rFonts w:ascii="Arial" w:hAnsi="Arial" w:cs="Arial"/>
        </w:rPr>
        <w:t>dari</w:t>
      </w:r>
      <w:proofErr w:type="spellEnd"/>
      <w:r w:rsidR="008747BC" w:rsidRPr="008747BC">
        <w:rPr>
          <w:rFonts w:ascii="Arial" w:hAnsi="Arial" w:cs="Arial"/>
        </w:rPr>
        <w:t xml:space="preserve"> total 514 </w:t>
      </w:r>
      <w:proofErr w:type="spellStart"/>
      <w:r w:rsidR="008747BC" w:rsidRPr="008747BC">
        <w:rPr>
          <w:rFonts w:ascii="Arial" w:hAnsi="Arial" w:cs="Arial"/>
        </w:rPr>
        <w:t>Kabupaten</w:t>
      </w:r>
      <w:proofErr w:type="spellEnd"/>
      <w:r w:rsidR="008747BC" w:rsidRPr="008747BC">
        <w:rPr>
          <w:rFonts w:ascii="Arial" w:hAnsi="Arial" w:cs="Arial"/>
        </w:rPr>
        <w:t xml:space="preserve">/Kota se-Indonesia). </w:t>
      </w:r>
      <w:proofErr w:type="spellStart"/>
      <w:r w:rsidR="008747BC" w:rsidRPr="008747BC">
        <w:rPr>
          <w:rFonts w:ascii="Arial" w:hAnsi="Arial" w:cs="Arial"/>
        </w:rPr>
        <w:t>Sementara</w:t>
      </w:r>
      <w:proofErr w:type="spellEnd"/>
      <w:r w:rsidR="008747BC" w:rsidRPr="008747BC">
        <w:rPr>
          <w:rFonts w:ascii="Arial" w:hAnsi="Arial" w:cs="Arial"/>
        </w:rPr>
        <w:t xml:space="preserve">, </w:t>
      </w:r>
      <w:proofErr w:type="spellStart"/>
      <w:r w:rsidR="008747BC" w:rsidRPr="008747BC">
        <w:rPr>
          <w:rFonts w:ascii="Arial" w:hAnsi="Arial" w:cs="Arial"/>
        </w:rPr>
        <w:t>populasi</w:t>
      </w:r>
      <w:proofErr w:type="spellEnd"/>
      <w:r w:rsidR="008747BC" w:rsidRPr="008747BC">
        <w:rPr>
          <w:rFonts w:ascii="Arial" w:hAnsi="Arial" w:cs="Arial"/>
        </w:rPr>
        <w:t xml:space="preserve"> orang miskin dan </w:t>
      </w:r>
      <w:proofErr w:type="spellStart"/>
      <w:r w:rsidR="008747BC" w:rsidRPr="008747BC">
        <w:rPr>
          <w:rFonts w:ascii="Arial" w:hAnsi="Arial" w:cs="Arial"/>
        </w:rPr>
        <w:t>tidak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mampu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serta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tingginya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kebutuhan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bantuan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hukum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tidak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terbatas</w:t>
      </w:r>
      <w:proofErr w:type="spellEnd"/>
      <w:r w:rsidR="008747BC" w:rsidRPr="008747BC">
        <w:rPr>
          <w:rFonts w:ascii="Arial" w:hAnsi="Arial" w:cs="Arial"/>
        </w:rPr>
        <w:t xml:space="preserve"> di </w:t>
      </w:r>
      <w:proofErr w:type="spellStart"/>
      <w:r w:rsidR="008747BC" w:rsidRPr="008747BC">
        <w:rPr>
          <w:rFonts w:ascii="Arial" w:hAnsi="Arial" w:cs="Arial"/>
        </w:rPr>
        <w:t>daerah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perkotaan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saja</w:t>
      </w:r>
      <w:proofErr w:type="spellEnd"/>
      <w:r w:rsidR="008747BC" w:rsidRPr="008747BC">
        <w:rPr>
          <w:rFonts w:ascii="Arial" w:hAnsi="Arial" w:cs="Arial"/>
        </w:rPr>
        <w:t xml:space="preserve">. Banyak </w:t>
      </w:r>
      <w:proofErr w:type="spellStart"/>
      <w:r w:rsidR="008747BC" w:rsidRPr="008747BC">
        <w:rPr>
          <w:rFonts w:ascii="Arial" w:hAnsi="Arial" w:cs="Arial"/>
        </w:rPr>
        <w:t>dari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mereka</w:t>
      </w:r>
      <w:proofErr w:type="spellEnd"/>
      <w:r w:rsidR="008747BC" w:rsidRPr="008747BC">
        <w:rPr>
          <w:rFonts w:ascii="Arial" w:hAnsi="Arial" w:cs="Arial"/>
        </w:rPr>
        <w:t xml:space="preserve"> yang </w:t>
      </w:r>
      <w:proofErr w:type="spellStart"/>
      <w:r w:rsidR="008747BC" w:rsidRPr="008747BC">
        <w:rPr>
          <w:rFonts w:ascii="Arial" w:hAnsi="Arial" w:cs="Arial"/>
        </w:rPr>
        <w:t>butuh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layanan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bantuan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hukum</w:t>
      </w:r>
      <w:proofErr w:type="spellEnd"/>
      <w:r w:rsidR="008747BC" w:rsidRPr="008747BC">
        <w:rPr>
          <w:rFonts w:ascii="Arial" w:hAnsi="Arial" w:cs="Arial"/>
        </w:rPr>
        <w:t xml:space="preserve"> </w:t>
      </w:r>
      <w:proofErr w:type="spellStart"/>
      <w:r w:rsidR="008747BC" w:rsidRPr="008747BC">
        <w:rPr>
          <w:rFonts w:ascii="Arial" w:hAnsi="Arial" w:cs="Arial"/>
        </w:rPr>
        <w:t>berlokasi</w:t>
      </w:r>
      <w:proofErr w:type="spellEnd"/>
      <w:r w:rsidR="008747BC" w:rsidRPr="008747BC">
        <w:rPr>
          <w:rFonts w:ascii="Arial" w:hAnsi="Arial" w:cs="Arial"/>
        </w:rPr>
        <w:t xml:space="preserve"> di </w:t>
      </w:r>
      <w:proofErr w:type="spellStart"/>
      <w:r w:rsidR="008747BC" w:rsidRPr="008747BC">
        <w:rPr>
          <w:rFonts w:ascii="Arial" w:hAnsi="Arial" w:cs="Arial"/>
        </w:rPr>
        <w:t>pedesaan</w:t>
      </w:r>
      <w:proofErr w:type="spellEnd"/>
      <w:r w:rsidR="008747BC" w:rsidRPr="008747BC">
        <w:rPr>
          <w:rFonts w:ascii="Arial" w:hAnsi="Arial" w:cs="Arial"/>
        </w:rPr>
        <w:t>.</w:t>
      </w:r>
    </w:p>
    <w:p w14:paraId="547ADCB0" w14:textId="31988FE4" w:rsidR="0025451E" w:rsidRDefault="0025451E" w:rsidP="007E31B1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25451E">
        <w:rPr>
          <w:rFonts w:ascii="Arial" w:hAnsi="Arial" w:cs="Arial"/>
        </w:rPr>
        <w:t xml:space="preserve">Selain </w:t>
      </w:r>
      <w:proofErr w:type="spellStart"/>
      <w:r w:rsidRPr="0025451E">
        <w:rPr>
          <w:rFonts w:ascii="Arial" w:hAnsi="Arial" w:cs="Arial"/>
        </w:rPr>
        <w:t>tidak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merata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persebarannya</w:t>
      </w:r>
      <w:proofErr w:type="spellEnd"/>
      <w:r w:rsidRPr="0025451E">
        <w:rPr>
          <w:rFonts w:ascii="Arial" w:hAnsi="Arial" w:cs="Arial"/>
        </w:rPr>
        <w:t xml:space="preserve">, </w:t>
      </w:r>
      <w:proofErr w:type="spellStart"/>
      <w:r w:rsidRPr="0025451E">
        <w:rPr>
          <w:rFonts w:ascii="Arial" w:hAnsi="Arial" w:cs="Arial"/>
        </w:rPr>
        <w:t>kewajiban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memberikan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hukum</w:t>
      </w:r>
      <w:proofErr w:type="spellEnd"/>
      <w:r w:rsidRPr="0025451E">
        <w:rPr>
          <w:rFonts w:ascii="Arial" w:hAnsi="Arial" w:cs="Arial"/>
        </w:rPr>
        <w:t xml:space="preserve"> pro bono </w:t>
      </w:r>
      <w:proofErr w:type="spellStart"/>
      <w:r w:rsidRPr="0025451E">
        <w:rPr>
          <w:rFonts w:ascii="Arial" w:hAnsi="Arial" w:cs="Arial"/>
        </w:rPr>
        <w:t>belum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dijalankan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sepenuhnya</w:t>
      </w:r>
      <w:proofErr w:type="spellEnd"/>
      <w:r w:rsidRPr="0025451E">
        <w:rPr>
          <w:rFonts w:ascii="Arial" w:hAnsi="Arial" w:cs="Arial"/>
        </w:rPr>
        <w:t xml:space="preserve">. Tidak </w:t>
      </w:r>
      <w:proofErr w:type="spellStart"/>
      <w:r w:rsidRPr="0025451E">
        <w:rPr>
          <w:rFonts w:ascii="Arial" w:hAnsi="Arial" w:cs="Arial"/>
        </w:rPr>
        <w:t>ada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mekanisme</w:t>
      </w:r>
      <w:proofErr w:type="spellEnd"/>
      <w:r w:rsidRPr="0025451E">
        <w:rPr>
          <w:rFonts w:ascii="Arial" w:hAnsi="Arial" w:cs="Arial"/>
        </w:rPr>
        <w:t xml:space="preserve"> yang </w:t>
      </w:r>
      <w:proofErr w:type="spellStart"/>
      <w:r w:rsidRPr="0025451E">
        <w:rPr>
          <w:rFonts w:ascii="Arial" w:hAnsi="Arial" w:cs="Arial"/>
        </w:rPr>
        <w:t>dapat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memastikan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bahwa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setiap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sudah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menjalankan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kewajiban</w:t>
      </w:r>
      <w:proofErr w:type="spellEnd"/>
      <w:r w:rsidRPr="0025451E">
        <w:rPr>
          <w:rFonts w:ascii="Arial" w:hAnsi="Arial" w:cs="Arial"/>
        </w:rPr>
        <w:t xml:space="preserve"> pro bono yang </w:t>
      </w:r>
      <w:proofErr w:type="spellStart"/>
      <w:r w:rsidRPr="0025451E">
        <w:rPr>
          <w:rFonts w:ascii="Arial" w:hAnsi="Arial" w:cs="Arial"/>
        </w:rPr>
        <w:t>diamanatkan</w:t>
      </w:r>
      <w:proofErr w:type="spellEnd"/>
      <w:r w:rsidRPr="0025451E">
        <w:rPr>
          <w:rFonts w:ascii="Arial" w:hAnsi="Arial" w:cs="Arial"/>
        </w:rPr>
        <w:t xml:space="preserve"> UU No. 18 </w:t>
      </w:r>
      <w:proofErr w:type="spellStart"/>
      <w:r w:rsidRPr="0025451E">
        <w:rPr>
          <w:rFonts w:ascii="Arial" w:hAnsi="Arial" w:cs="Arial"/>
        </w:rPr>
        <w:t>Tahun</w:t>
      </w:r>
      <w:proofErr w:type="spellEnd"/>
      <w:r w:rsidRPr="0025451E">
        <w:rPr>
          <w:rFonts w:ascii="Arial" w:hAnsi="Arial" w:cs="Arial"/>
        </w:rPr>
        <w:t xml:space="preserve"> 2003 </w:t>
      </w:r>
      <w:proofErr w:type="spellStart"/>
      <w:r w:rsidRPr="0025451E">
        <w:rPr>
          <w:rFonts w:ascii="Arial" w:hAnsi="Arial" w:cs="Arial"/>
        </w:rPr>
        <w:t>tentang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. Itu </w:t>
      </w:r>
      <w:proofErr w:type="spellStart"/>
      <w:r w:rsidRPr="0025451E">
        <w:rPr>
          <w:rFonts w:ascii="Arial" w:hAnsi="Arial" w:cs="Arial"/>
        </w:rPr>
        <w:t>sebabnya</w:t>
      </w:r>
      <w:proofErr w:type="spellEnd"/>
      <w:r w:rsidRPr="0025451E">
        <w:rPr>
          <w:rFonts w:ascii="Arial" w:hAnsi="Arial" w:cs="Arial"/>
        </w:rPr>
        <w:t xml:space="preserve">, negara </w:t>
      </w:r>
      <w:proofErr w:type="spellStart"/>
      <w:r w:rsidRPr="0025451E">
        <w:rPr>
          <w:rFonts w:ascii="Arial" w:hAnsi="Arial" w:cs="Arial"/>
        </w:rPr>
        <w:t>hadir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melalui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pemberian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hukum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secara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cuma-cuma</w:t>
      </w:r>
      <w:proofErr w:type="spellEnd"/>
      <w:r w:rsidRPr="0025451E">
        <w:rPr>
          <w:rFonts w:ascii="Arial" w:hAnsi="Arial" w:cs="Arial"/>
        </w:rPr>
        <w:t xml:space="preserve">. </w:t>
      </w:r>
      <w:proofErr w:type="spellStart"/>
      <w:r w:rsidRPr="0025451E">
        <w:rPr>
          <w:rFonts w:ascii="Arial" w:hAnsi="Arial" w:cs="Arial"/>
        </w:rPr>
        <w:t>Puluhan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miliaran</w:t>
      </w:r>
      <w:proofErr w:type="spellEnd"/>
      <w:r w:rsidRPr="0025451E">
        <w:rPr>
          <w:rFonts w:ascii="Arial" w:hAnsi="Arial" w:cs="Arial"/>
        </w:rPr>
        <w:t xml:space="preserve"> dana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hukum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disediakan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lewat</w:t>
      </w:r>
      <w:proofErr w:type="spellEnd"/>
      <w:r w:rsidRPr="0025451E">
        <w:rPr>
          <w:rFonts w:ascii="Arial" w:hAnsi="Arial" w:cs="Arial"/>
        </w:rPr>
        <w:t xml:space="preserve"> APBN, yang </w:t>
      </w:r>
      <w:proofErr w:type="spellStart"/>
      <w:r w:rsidRPr="0025451E">
        <w:rPr>
          <w:rFonts w:ascii="Arial" w:hAnsi="Arial" w:cs="Arial"/>
        </w:rPr>
        <w:t>disalurkan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melalui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organisasi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Pemberi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Hukum (PBH).</w:t>
      </w:r>
    </w:p>
    <w:p w14:paraId="759416C6" w14:textId="1DE636EC" w:rsidR="007E31B1" w:rsidRDefault="0025451E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5451E">
        <w:rPr>
          <w:rFonts w:ascii="Arial" w:hAnsi="Arial" w:cs="Arial"/>
        </w:rPr>
        <w:t xml:space="preserve">PBH yang </w:t>
      </w:r>
      <w:proofErr w:type="spellStart"/>
      <w:r w:rsidRPr="0025451E">
        <w:rPr>
          <w:rFonts w:ascii="Arial" w:hAnsi="Arial" w:cs="Arial"/>
        </w:rPr>
        <w:t>mendapatkan</w:t>
      </w:r>
      <w:proofErr w:type="spellEnd"/>
      <w:r w:rsidRPr="0025451E">
        <w:rPr>
          <w:rFonts w:ascii="Arial" w:hAnsi="Arial" w:cs="Arial"/>
        </w:rPr>
        <w:t xml:space="preserve"> dana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hukum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harus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menjalankan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prinsip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akuntabilitas</w:t>
      </w:r>
      <w:proofErr w:type="spellEnd"/>
      <w:r w:rsidRPr="0025451E">
        <w:rPr>
          <w:rFonts w:ascii="Arial" w:hAnsi="Arial" w:cs="Arial"/>
        </w:rPr>
        <w:t xml:space="preserve">, </w:t>
      </w:r>
      <w:proofErr w:type="spellStart"/>
      <w:r w:rsidRPr="0025451E">
        <w:rPr>
          <w:rFonts w:ascii="Arial" w:hAnsi="Arial" w:cs="Arial"/>
        </w:rPr>
        <w:t>karena</w:t>
      </w:r>
      <w:proofErr w:type="spellEnd"/>
      <w:r w:rsidRPr="0025451E">
        <w:rPr>
          <w:rFonts w:ascii="Arial" w:hAnsi="Arial" w:cs="Arial"/>
        </w:rPr>
        <w:t xml:space="preserve"> dana yang </w:t>
      </w:r>
      <w:proofErr w:type="spellStart"/>
      <w:r w:rsidRPr="0025451E">
        <w:rPr>
          <w:rFonts w:ascii="Arial" w:hAnsi="Arial" w:cs="Arial"/>
        </w:rPr>
        <w:t>digunakan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adalah</w:t>
      </w:r>
      <w:proofErr w:type="spellEnd"/>
      <w:r w:rsidRPr="0025451E">
        <w:rPr>
          <w:rFonts w:ascii="Arial" w:hAnsi="Arial" w:cs="Arial"/>
        </w:rPr>
        <w:t xml:space="preserve"> dana negara. </w:t>
      </w:r>
      <w:proofErr w:type="spellStart"/>
      <w:r w:rsidRPr="0025451E">
        <w:rPr>
          <w:rFonts w:ascii="Arial" w:hAnsi="Arial" w:cs="Arial"/>
        </w:rPr>
        <w:t>Advokat</w:t>
      </w:r>
      <w:proofErr w:type="spellEnd"/>
      <w:r w:rsidRPr="0025451E">
        <w:rPr>
          <w:rFonts w:ascii="Arial" w:hAnsi="Arial" w:cs="Arial"/>
        </w:rPr>
        <w:t xml:space="preserve"> dan paralegal yang </w:t>
      </w:r>
      <w:proofErr w:type="spellStart"/>
      <w:r w:rsidRPr="0025451E">
        <w:rPr>
          <w:rFonts w:ascii="Arial" w:hAnsi="Arial" w:cs="Arial"/>
        </w:rPr>
        <w:t>membantu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memberikan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bantuan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hukum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harus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bersunggung-sungguh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menjalankan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tugas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mulia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membantu</w:t>
      </w:r>
      <w:proofErr w:type="spellEnd"/>
      <w:r w:rsidRPr="0025451E">
        <w:rPr>
          <w:rFonts w:ascii="Arial" w:hAnsi="Arial" w:cs="Arial"/>
        </w:rPr>
        <w:t xml:space="preserve"> orang miskin. </w:t>
      </w:r>
      <w:proofErr w:type="spellStart"/>
      <w:r w:rsidRPr="0025451E">
        <w:rPr>
          <w:rFonts w:ascii="Arial" w:hAnsi="Arial" w:cs="Arial"/>
        </w:rPr>
        <w:t>Kesungguhan</w:t>
      </w:r>
      <w:proofErr w:type="spellEnd"/>
      <w:r w:rsidRPr="0025451E">
        <w:rPr>
          <w:rFonts w:ascii="Arial" w:hAnsi="Arial" w:cs="Arial"/>
        </w:rPr>
        <w:t xml:space="preserve"> dan </w:t>
      </w:r>
      <w:proofErr w:type="spellStart"/>
      <w:r w:rsidRPr="0025451E">
        <w:rPr>
          <w:rFonts w:ascii="Arial" w:hAnsi="Arial" w:cs="Arial"/>
        </w:rPr>
        <w:t>komitmen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membantu</w:t>
      </w:r>
      <w:proofErr w:type="spellEnd"/>
      <w:r w:rsidRPr="0025451E">
        <w:rPr>
          <w:rFonts w:ascii="Arial" w:hAnsi="Arial" w:cs="Arial"/>
        </w:rPr>
        <w:t xml:space="preserve"> orang miskin </w:t>
      </w:r>
      <w:proofErr w:type="spellStart"/>
      <w:r w:rsidRPr="0025451E">
        <w:rPr>
          <w:rFonts w:ascii="Arial" w:hAnsi="Arial" w:cs="Arial"/>
        </w:rPr>
        <w:t>itu</w:t>
      </w:r>
      <w:proofErr w:type="spellEnd"/>
      <w:r w:rsidRPr="0025451E">
        <w:rPr>
          <w:rFonts w:ascii="Arial" w:hAnsi="Arial" w:cs="Arial"/>
        </w:rPr>
        <w:t xml:space="preserve"> pula yang </w:t>
      </w:r>
      <w:proofErr w:type="spellStart"/>
      <w:r w:rsidRPr="0025451E">
        <w:rPr>
          <w:rFonts w:ascii="Arial" w:hAnsi="Arial" w:cs="Arial"/>
        </w:rPr>
        <w:t>dipegang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sejumlah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pengelola</w:t>
      </w:r>
      <w:proofErr w:type="spellEnd"/>
      <w:r w:rsidRPr="0025451E">
        <w:rPr>
          <w:rFonts w:ascii="Arial" w:hAnsi="Arial" w:cs="Arial"/>
        </w:rPr>
        <w:t xml:space="preserve"> PBH yang </w:t>
      </w:r>
      <w:proofErr w:type="spellStart"/>
      <w:r w:rsidRPr="0025451E">
        <w:rPr>
          <w:rFonts w:ascii="Arial" w:hAnsi="Arial" w:cs="Arial"/>
        </w:rPr>
        <w:t>mendapatkan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akreditasi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terbaik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selama</w:t>
      </w:r>
      <w:proofErr w:type="spellEnd"/>
      <w:r w:rsidRPr="0025451E">
        <w:rPr>
          <w:rFonts w:ascii="Arial" w:hAnsi="Arial" w:cs="Arial"/>
        </w:rPr>
        <w:t xml:space="preserve"> </w:t>
      </w:r>
      <w:proofErr w:type="spellStart"/>
      <w:r w:rsidRPr="0025451E">
        <w:rPr>
          <w:rFonts w:ascii="Arial" w:hAnsi="Arial" w:cs="Arial"/>
        </w:rPr>
        <w:t>ini</w:t>
      </w:r>
      <w:proofErr w:type="spellEnd"/>
      <w:r w:rsidRPr="0025451E">
        <w:rPr>
          <w:rFonts w:ascii="Arial" w:hAnsi="Arial" w:cs="Arial"/>
        </w:rPr>
        <w:t>.</w:t>
      </w:r>
    </w:p>
    <w:p w14:paraId="23D5C89D" w14:textId="178B2B51" w:rsidR="00FF3359" w:rsidRDefault="00466DB6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Maka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rangka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menjamin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kualitas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layanan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</w:t>
      </w:r>
      <w:proofErr w:type="spellStart"/>
      <w:r>
        <w:rPr>
          <w:rFonts w:ascii="Arial" w:hAnsi="Arial" w:cs="Arial"/>
        </w:rPr>
        <w:t>diterbitkanlah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Peraturan</w:t>
      </w:r>
      <w:proofErr w:type="spellEnd"/>
      <w:r>
        <w:rPr>
          <w:rFonts w:ascii="Arial" w:hAnsi="Arial" w:cs="Arial"/>
        </w:rPr>
        <w:t xml:space="preserve"> Menteri Hukum dan </w:t>
      </w:r>
      <w:proofErr w:type="spellStart"/>
      <w:r>
        <w:rPr>
          <w:rFonts w:ascii="Arial" w:hAnsi="Arial" w:cs="Arial"/>
        </w:rPr>
        <w:t>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Manusia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</w:t>
      </w:r>
      <w:proofErr w:type="spellEnd"/>
      <w:r>
        <w:rPr>
          <w:rFonts w:ascii="Arial" w:hAnsi="Arial" w:cs="Arial"/>
        </w:rPr>
        <w:t xml:space="preserve"> Indonesia </w:t>
      </w:r>
      <w:proofErr w:type="spellStart"/>
      <w:r>
        <w:rPr>
          <w:rFonts w:ascii="Arial" w:hAnsi="Arial" w:cs="Arial"/>
        </w:rPr>
        <w:t>Nomor</w:t>
      </w:r>
      <w:proofErr w:type="spellEnd"/>
      <w:r>
        <w:rPr>
          <w:rFonts w:ascii="Arial" w:hAnsi="Arial" w:cs="Arial"/>
        </w:rPr>
        <w:t xml:space="preserve"> 4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2021 </w:t>
      </w:r>
      <w:proofErr w:type="spellStart"/>
      <w:r>
        <w:rPr>
          <w:rFonts w:ascii="Arial" w:hAnsi="Arial" w:cs="Arial"/>
        </w:rPr>
        <w:t>tentang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Standar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Layanan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(</w:t>
      </w:r>
      <w:proofErr w:type="spellStart"/>
      <w:r>
        <w:rPr>
          <w:rFonts w:ascii="Arial" w:hAnsi="Arial" w:cs="Arial"/>
        </w:rPr>
        <w:t>Permenkumham</w:t>
      </w:r>
      <w:proofErr w:type="spellEnd"/>
      <w:r>
        <w:rPr>
          <w:rFonts w:ascii="Arial" w:hAnsi="Arial" w:cs="Arial"/>
        </w:rPr>
        <w:t xml:space="preserve"> 4/2021).</w:t>
      </w:r>
    </w:p>
    <w:p w14:paraId="510979CC" w14:textId="110484F7" w:rsidR="00466DB6" w:rsidRDefault="00466DB6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Permenkumham</w:t>
      </w:r>
      <w:proofErr w:type="spellEnd"/>
      <w:r>
        <w:rPr>
          <w:rFonts w:ascii="Arial" w:hAnsi="Arial" w:cs="Arial"/>
        </w:rPr>
        <w:t xml:space="preserve"> 4/2021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Standar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Layanan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yang </w:t>
      </w:r>
      <w:proofErr w:type="spellStart"/>
      <w:proofErr w:type="gramStart"/>
      <w:r>
        <w:rPr>
          <w:rFonts w:ascii="Arial" w:hAnsi="Arial" w:cs="Arial"/>
        </w:rPr>
        <w:t>meliputi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14:paraId="0B2D8BFF" w14:textId="5022096D" w:rsidR="00466DB6" w:rsidRDefault="00466DB6" w:rsidP="00466DB6">
      <w:pPr>
        <w:pStyle w:val="DaftarParagraf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proofErr w:type="spellStart"/>
      <w:r w:rsidRPr="00466DB6">
        <w:rPr>
          <w:rFonts w:ascii="Arial" w:hAnsi="Arial" w:cs="Arial"/>
        </w:rPr>
        <w:lastRenderedPageBreak/>
        <w:t>Standar</w:t>
      </w:r>
      <w:proofErr w:type="spellEnd"/>
      <w:r w:rsidRPr="00466DB6">
        <w:rPr>
          <w:rFonts w:ascii="Arial" w:hAnsi="Arial" w:cs="Arial"/>
        </w:rPr>
        <w:t xml:space="preserve"> </w:t>
      </w:r>
      <w:proofErr w:type="spellStart"/>
      <w:r w:rsidRPr="00466DB6">
        <w:rPr>
          <w:rFonts w:ascii="Arial" w:hAnsi="Arial" w:cs="Arial"/>
        </w:rPr>
        <w:t>Layanan</w:t>
      </w:r>
      <w:proofErr w:type="spellEnd"/>
      <w:r w:rsidRPr="00466DB6">
        <w:rPr>
          <w:rFonts w:ascii="Arial" w:hAnsi="Arial" w:cs="Arial"/>
        </w:rPr>
        <w:t xml:space="preserve"> </w:t>
      </w:r>
      <w:proofErr w:type="spellStart"/>
      <w:r w:rsidRPr="00466DB6">
        <w:rPr>
          <w:rFonts w:ascii="Arial" w:hAnsi="Arial" w:cs="Arial"/>
        </w:rPr>
        <w:t>Bantuan</w:t>
      </w:r>
      <w:proofErr w:type="spellEnd"/>
      <w:r w:rsidRPr="00466DB6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ukum </w:t>
      </w:r>
      <w:proofErr w:type="spellStart"/>
      <w:r>
        <w:rPr>
          <w:rFonts w:ascii="Arial" w:hAnsi="Arial" w:cs="Arial"/>
        </w:rPr>
        <w:t>Litigasi</w:t>
      </w:r>
      <w:proofErr w:type="spellEnd"/>
      <w:r>
        <w:rPr>
          <w:rFonts w:ascii="Arial" w:hAnsi="Arial" w:cs="Arial"/>
        </w:rPr>
        <w:t>; dan</w:t>
      </w:r>
    </w:p>
    <w:p w14:paraId="44D08CDD" w14:textId="49BAA8D2" w:rsidR="00466DB6" w:rsidRDefault="00466DB6" w:rsidP="00466DB6">
      <w:pPr>
        <w:pStyle w:val="DaftarParagraf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Standar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Layanan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</w:t>
      </w:r>
      <w:proofErr w:type="spellStart"/>
      <w:r>
        <w:rPr>
          <w:rFonts w:ascii="Arial" w:hAnsi="Arial" w:cs="Arial"/>
        </w:rPr>
        <w:t>Nonlitigasi</w:t>
      </w:r>
      <w:proofErr w:type="spellEnd"/>
      <w:r>
        <w:rPr>
          <w:rFonts w:ascii="Arial" w:hAnsi="Arial" w:cs="Arial"/>
        </w:rPr>
        <w:t>.</w:t>
      </w:r>
    </w:p>
    <w:p w14:paraId="653F6A7A" w14:textId="1BF3C405" w:rsidR="00F62D9F" w:rsidRDefault="00466DB6" w:rsidP="00F62D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Selain </w:t>
      </w:r>
      <w:proofErr w:type="spellStart"/>
      <w:r>
        <w:rPr>
          <w:rFonts w:ascii="Arial" w:hAnsi="Arial" w:cs="Arial"/>
        </w:rPr>
        <w:t>itu</w:t>
      </w:r>
      <w:proofErr w:type="spellEnd"/>
      <w:r w:rsidR="00F62D9F">
        <w:rPr>
          <w:rFonts w:ascii="Arial" w:hAnsi="Arial" w:cs="Arial"/>
        </w:rPr>
        <w:t xml:space="preserve">, </w:t>
      </w:r>
      <w:proofErr w:type="spellStart"/>
      <w:r w:rsidR="00F62D9F">
        <w:rPr>
          <w:rFonts w:ascii="Arial" w:hAnsi="Arial" w:cs="Arial"/>
        </w:rPr>
        <w:t>amanat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peraturan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delegasi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Permenkumham</w:t>
      </w:r>
      <w:proofErr w:type="spellEnd"/>
      <w:r w:rsidR="00F62D9F">
        <w:rPr>
          <w:rFonts w:ascii="Arial" w:hAnsi="Arial" w:cs="Arial"/>
        </w:rPr>
        <w:t xml:space="preserve"> 4/2021 </w:t>
      </w:r>
      <w:proofErr w:type="spellStart"/>
      <w:r w:rsidR="00F62D9F">
        <w:rPr>
          <w:rFonts w:ascii="Arial" w:hAnsi="Arial" w:cs="Arial"/>
        </w:rPr>
        <w:t>yaitu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perlu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adanya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Pedoman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tentang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Standar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Layanan</w:t>
      </w:r>
      <w:proofErr w:type="spellEnd"/>
      <w:r w:rsidR="00F62D9F">
        <w:rPr>
          <w:rFonts w:ascii="Arial" w:hAnsi="Arial" w:cs="Arial"/>
        </w:rPr>
        <w:t xml:space="preserve"> </w:t>
      </w:r>
      <w:proofErr w:type="spellStart"/>
      <w:r w:rsidR="00F62D9F">
        <w:rPr>
          <w:rFonts w:ascii="Arial" w:hAnsi="Arial" w:cs="Arial"/>
        </w:rPr>
        <w:t>Bantuan</w:t>
      </w:r>
      <w:proofErr w:type="spellEnd"/>
      <w:r w:rsidR="00F62D9F">
        <w:rPr>
          <w:rFonts w:ascii="Arial" w:hAnsi="Arial" w:cs="Arial"/>
        </w:rPr>
        <w:t xml:space="preserve"> Hukum yang </w:t>
      </w:r>
      <w:proofErr w:type="spellStart"/>
      <w:proofErr w:type="gramStart"/>
      <w:r w:rsidR="00F62D9F">
        <w:rPr>
          <w:rFonts w:ascii="Arial" w:hAnsi="Arial" w:cs="Arial"/>
        </w:rPr>
        <w:t>memuat</w:t>
      </w:r>
      <w:proofErr w:type="spellEnd"/>
      <w:r w:rsidR="00F62D9F">
        <w:rPr>
          <w:rFonts w:ascii="Arial" w:hAnsi="Arial" w:cs="Arial"/>
        </w:rPr>
        <w:t xml:space="preserve"> :</w:t>
      </w:r>
      <w:proofErr w:type="gramEnd"/>
    </w:p>
    <w:p w14:paraId="460C3939" w14:textId="1E079ED4" w:rsidR="00F62D9F" w:rsidRDefault="00F62D9F" w:rsidP="00F62D9F">
      <w:pPr>
        <w:pStyle w:val="DaftarParagraf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proofErr w:type="spellStart"/>
      <w:r w:rsidRPr="00466DB6">
        <w:rPr>
          <w:rFonts w:ascii="Arial" w:hAnsi="Arial" w:cs="Arial"/>
        </w:rPr>
        <w:t>Standar</w:t>
      </w:r>
      <w:proofErr w:type="spellEnd"/>
      <w:r w:rsidRPr="00466DB6">
        <w:rPr>
          <w:rFonts w:ascii="Arial" w:hAnsi="Arial" w:cs="Arial"/>
        </w:rPr>
        <w:t xml:space="preserve"> </w:t>
      </w:r>
      <w:proofErr w:type="spellStart"/>
      <w:r w:rsidRPr="00466DB6">
        <w:rPr>
          <w:rFonts w:ascii="Arial" w:hAnsi="Arial" w:cs="Arial"/>
        </w:rPr>
        <w:t>Layanan</w:t>
      </w:r>
      <w:proofErr w:type="spellEnd"/>
      <w:r w:rsidRPr="00466DB6">
        <w:rPr>
          <w:rFonts w:ascii="Arial" w:hAnsi="Arial" w:cs="Arial"/>
        </w:rPr>
        <w:t xml:space="preserve"> </w:t>
      </w:r>
      <w:proofErr w:type="spellStart"/>
      <w:r w:rsidRPr="00466DB6">
        <w:rPr>
          <w:rFonts w:ascii="Arial" w:hAnsi="Arial" w:cs="Arial"/>
        </w:rPr>
        <w:t>Bantuan</w:t>
      </w:r>
      <w:proofErr w:type="spellEnd"/>
      <w:r w:rsidRPr="00466DB6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ukum </w:t>
      </w:r>
      <w:proofErr w:type="spellStart"/>
      <w:r>
        <w:rPr>
          <w:rFonts w:ascii="Arial" w:hAnsi="Arial" w:cs="Arial"/>
        </w:rPr>
        <w:t>Litigasi</w:t>
      </w:r>
      <w:proofErr w:type="spellEnd"/>
      <w:r>
        <w:rPr>
          <w:rFonts w:ascii="Arial" w:hAnsi="Arial" w:cs="Arial"/>
        </w:rPr>
        <w:t>;</w:t>
      </w:r>
    </w:p>
    <w:p w14:paraId="5DFC271B" w14:textId="1F581BE8" w:rsidR="00F62D9F" w:rsidRDefault="00F62D9F" w:rsidP="00F62D9F">
      <w:pPr>
        <w:pStyle w:val="DaftarParagraf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Standar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Layanan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</w:t>
      </w:r>
      <w:proofErr w:type="spellStart"/>
      <w:r>
        <w:rPr>
          <w:rFonts w:ascii="Arial" w:hAnsi="Arial" w:cs="Arial"/>
        </w:rPr>
        <w:t>Nonlitigasi</w:t>
      </w:r>
      <w:proofErr w:type="spellEnd"/>
      <w:r>
        <w:rPr>
          <w:rFonts w:ascii="Arial" w:hAnsi="Arial" w:cs="Arial"/>
        </w:rPr>
        <w:t xml:space="preserve">; dan </w:t>
      </w:r>
    </w:p>
    <w:p w14:paraId="71B3B347" w14:textId="5D0DCE36" w:rsidR="00F62D9F" w:rsidRDefault="00F62D9F" w:rsidP="00F62D9F">
      <w:pPr>
        <w:pStyle w:val="DaftarParagraf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Pembinaan</w:t>
      </w:r>
      <w:proofErr w:type="spellEnd"/>
      <w:r>
        <w:rPr>
          <w:rFonts w:ascii="Arial" w:hAnsi="Arial" w:cs="Arial"/>
        </w:rPr>
        <w:t xml:space="preserve">, yang </w:t>
      </w:r>
      <w:proofErr w:type="spellStart"/>
      <w:r>
        <w:rPr>
          <w:rFonts w:ascii="Arial" w:hAnsi="Arial" w:cs="Arial"/>
        </w:rPr>
        <w:t>meliputi</w:t>
      </w:r>
      <w:proofErr w:type="spellEnd"/>
      <w:r>
        <w:rPr>
          <w:rFonts w:ascii="Arial" w:hAnsi="Arial" w:cs="Arial"/>
        </w:rPr>
        <w:t>:</w:t>
      </w:r>
    </w:p>
    <w:p w14:paraId="60526DBB" w14:textId="3CA22714" w:rsidR="00F62D9F" w:rsidRDefault="00F62D9F" w:rsidP="00F62D9F">
      <w:pPr>
        <w:pStyle w:val="DaftarParagraf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Asistensi</w:t>
      </w:r>
      <w:proofErr w:type="spellEnd"/>
      <w:r>
        <w:rPr>
          <w:rFonts w:ascii="Arial" w:hAnsi="Arial" w:cs="Arial"/>
        </w:rPr>
        <w:t>;</w:t>
      </w:r>
    </w:p>
    <w:p w14:paraId="33C2083A" w14:textId="0FFBE03B" w:rsidR="00F62D9F" w:rsidRDefault="00F62D9F" w:rsidP="00F62D9F">
      <w:pPr>
        <w:pStyle w:val="DaftarParagraf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Penilaian</w:t>
      </w:r>
      <w:proofErr w:type="spellEnd"/>
      <w:r>
        <w:rPr>
          <w:rFonts w:ascii="Arial" w:hAnsi="Arial" w:cs="Arial"/>
        </w:rPr>
        <w:t>;</w:t>
      </w:r>
    </w:p>
    <w:p w14:paraId="4CD5E5D0" w14:textId="2BA197E2" w:rsidR="00F62D9F" w:rsidRDefault="00F62D9F" w:rsidP="00F62D9F">
      <w:pPr>
        <w:pStyle w:val="DaftarParagraf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Pengaduan</w:t>
      </w:r>
      <w:proofErr w:type="spellEnd"/>
      <w:r>
        <w:rPr>
          <w:rFonts w:ascii="Arial" w:hAnsi="Arial" w:cs="Arial"/>
        </w:rPr>
        <w:t>; dan</w:t>
      </w:r>
    </w:p>
    <w:p w14:paraId="714C7D0F" w14:textId="4AFBE284" w:rsidR="00F62D9F" w:rsidRPr="00F62D9F" w:rsidRDefault="00F62D9F" w:rsidP="00F62D9F">
      <w:pPr>
        <w:pStyle w:val="DaftarParagraf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Sanksi</w:t>
      </w:r>
      <w:proofErr w:type="spellEnd"/>
      <w:r>
        <w:rPr>
          <w:rFonts w:ascii="Arial" w:hAnsi="Arial" w:cs="Arial"/>
        </w:rPr>
        <w:t>.</w:t>
      </w:r>
    </w:p>
    <w:p w14:paraId="6B4323A1" w14:textId="008B5AB7" w:rsidR="0051310D" w:rsidRPr="00466DB6" w:rsidRDefault="00F55A80" w:rsidP="00F62D9F">
      <w:pPr>
        <w:spacing w:after="0"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Berkaitan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penyerbarluasan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terhadap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Permenkumham</w:t>
      </w:r>
      <w:proofErr w:type="spellEnd"/>
      <w:r>
        <w:rPr>
          <w:rFonts w:ascii="Arial" w:hAnsi="Arial" w:cs="Arial"/>
        </w:rPr>
        <w:t xml:space="preserve"> 4/2021, BPHN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melakukan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beberapa</w:t>
      </w:r>
      <w:proofErr w:type="spellEnd"/>
      <w:r>
        <w:rPr>
          <w:rFonts w:ascii="Arial" w:hAnsi="Arial" w:cs="Arial"/>
        </w:rPr>
        <w:t xml:space="preserve"> kali </w:t>
      </w:r>
      <w:proofErr w:type="spellStart"/>
      <w:r>
        <w:rPr>
          <w:rFonts w:ascii="Arial" w:hAnsi="Arial" w:cs="Arial"/>
        </w:rPr>
        <w:t>sosialisasi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PBH via platform Zoom. </w:t>
      </w:r>
      <w:r w:rsidR="0051310D" w:rsidRPr="00466DB6">
        <w:rPr>
          <w:rFonts w:ascii="Arial" w:hAnsi="Arial" w:cs="Arial"/>
        </w:rPr>
        <w:t xml:space="preserve">Adapun data </w:t>
      </w:r>
      <w:proofErr w:type="spellStart"/>
      <w:r w:rsidR="0051310D" w:rsidRPr="00466DB6">
        <w:rPr>
          <w:rFonts w:ascii="Arial" w:hAnsi="Arial" w:cs="Arial"/>
        </w:rPr>
        <w:t>dukung</w:t>
      </w:r>
      <w:proofErr w:type="spellEnd"/>
      <w:r w:rsidR="0051310D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kegiatan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sebagaimana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dimaksud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yaitu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sebagaimana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terlampir</w:t>
      </w:r>
      <w:proofErr w:type="spellEnd"/>
      <w:r w:rsidR="00A4215A" w:rsidRPr="00466DB6">
        <w:rPr>
          <w:rFonts w:ascii="Arial" w:hAnsi="Arial" w:cs="Arial"/>
        </w:rPr>
        <w:t>.</w:t>
      </w:r>
    </w:p>
    <w:p w14:paraId="76DB9A79" w14:textId="61C21DD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EFF09E1" w14:textId="492B01F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1F712B6" w14:textId="4E95898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9C945AC" w14:textId="1982C49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8BC4D96" w14:textId="7AF95BF0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B490E55" w14:textId="4CB7AE5E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DA91DAC" w14:textId="1BE41AF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8EA3FA8" w14:textId="6D98DB08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C17BB4B" w14:textId="63AD44FE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093CAEC0" w14:textId="69F78741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80CB329" w14:textId="7A421C6F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549C7C8" w14:textId="0A822E6F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F3C0595" w14:textId="7CAEF3E0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ECED4E7" w14:textId="3FCA9DED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B19582D" w14:textId="76589055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EA612DA" w14:textId="77777777" w:rsidR="00F55A80" w:rsidRDefault="00F55A80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AA6FCCF" w14:textId="133D63B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5267CFB" w14:textId="2095707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20076EED" w14:textId="583745B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B79C86E" w14:textId="6A0B0D1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501D8C3" w14:textId="72E58D8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B7341F7" w14:textId="3FB69D5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BBEC8C7" w14:textId="412960A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7CC7AE8E" w14:textId="28F4480F" w:rsidR="00A4215A" w:rsidRPr="00A4215A" w:rsidRDefault="00A4215A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4215A">
        <w:rPr>
          <w:rFonts w:ascii="Arial" w:hAnsi="Arial" w:cs="Arial"/>
          <w:b/>
          <w:bCs/>
        </w:rPr>
        <w:lastRenderedPageBreak/>
        <w:t>LAMPIRAN DATA DUKUNG</w:t>
      </w:r>
    </w:p>
    <w:p w14:paraId="1CD466B3" w14:textId="3E7D31DA" w:rsidR="00940BFE" w:rsidRDefault="00CA7079" w:rsidP="00536758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7C3F1740" wp14:editId="63EE6032">
            <wp:simplePos x="0" y="0"/>
            <wp:positionH relativeFrom="margin">
              <wp:align>center</wp:align>
            </wp:positionH>
            <wp:positionV relativeFrom="margin">
              <wp:posOffset>596900</wp:posOffset>
            </wp:positionV>
            <wp:extent cx="5972810" cy="3727450"/>
            <wp:effectExtent l="0" t="0" r="8890" b="6350"/>
            <wp:wrapSquare wrapText="bothSides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300" b="9843"/>
                    <a:stretch/>
                  </pic:blipFill>
                  <pic:spPr bwMode="auto">
                    <a:xfrm>
                      <a:off x="0" y="0"/>
                      <a:ext cx="5972810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2B0EC3" w14:textId="7BAF251E" w:rsidR="00A4215A" w:rsidRPr="00CA7079" w:rsidRDefault="00CA7079" w:rsidP="00CA7079">
      <w:pPr>
        <w:pStyle w:val="DaftarParagraf"/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  <w:lang w:val="id-ID"/>
        </w:rPr>
      </w:pPr>
      <w:r>
        <w:rPr>
          <w:rFonts w:ascii="Arial" w:hAnsi="Arial" w:cs="Arial"/>
          <w:b/>
          <w:bCs/>
          <w:lang w:val="id-ID"/>
        </w:rPr>
        <w:t xml:space="preserve">Yayasan Hukum </w:t>
      </w:r>
      <w:proofErr w:type="spellStart"/>
      <w:r>
        <w:rPr>
          <w:rFonts w:ascii="Arial" w:hAnsi="Arial" w:cs="Arial"/>
          <w:b/>
          <w:bCs/>
          <w:lang w:val="id-ID"/>
        </w:rPr>
        <w:t>Lasinrang</w:t>
      </w:r>
      <w:proofErr w:type="spellEnd"/>
    </w:p>
    <w:p w14:paraId="0A62425B" w14:textId="3E506983" w:rsidR="00A4215A" w:rsidRPr="00CA7079" w:rsidRDefault="00A4215A" w:rsidP="00536758">
      <w:pPr>
        <w:spacing w:after="0"/>
        <w:jc w:val="both"/>
        <w:rPr>
          <w:rFonts w:ascii="Arial" w:hAnsi="Arial" w:cs="Arial"/>
          <w:b/>
          <w:bCs/>
          <w:lang w:val="id-ID"/>
        </w:rPr>
      </w:pPr>
    </w:p>
    <w:p w14:paraId="61AE7354" w14:textId="79D1E92A" w:rsidR="00940BFE" w:rsidRDefault="00A4215A" w:rsidP="00536758">
      <w:pPr>
        <w:spacing w:after="0"/>
        <w:jc w:val="both"/>
        <w:rPr>
          <w:noProof/>
        </w:rPr>
      </w:pPr>
      <w:r>
        <w:rPr>
          <w:noProof/>
        </w:rPr>
        <w:t xml:space="preserve"> </w:t>
      </w:r>
    </w:p>
    <w:p w14:paraId="11F33767" w14:textId="3AA756E6" w:rsidR="00CA7079" w:rsidRDefault="00CE00FE" w:rsidP="00CE00FE">
      <w:pPr>
        <w:pStyle w:val="DaftarParagraf"/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  <w:lang w:val="id-ID"/>
        </w:rPr>
      </w:pPr>
      <w:r>
        <w:rPr>
          <w:rFonts w:ascii="Arial" w:hAnsi="Arial" w:cs="Arial"/>
          <w:b/>
          <w:bCs/>
          <w:lang w:val="id-ID"/>
        </w:rPr>
        <w:t>LBH Surya NTT</w:t>
      </w:r>
    </w:p>
    <w:p w14:paraId="2C55359A" w14:textId="32FB8BEE" w:rsidR="00CE00FE" w:rsidRDefault="00CE00FE" w:rsidP="00CE00FE">
      <w:pPr>
        <w:pStyle w:val="DaftarParagraf"/>
        <w:spacing w:after="0"/>
        <w:jc w:val="both"/>
        <w:rPr>
          <w:rFonts w:ascii="Arial" w:hAnsi="Arial" w:cs="Arial"/>
          <w:b/>
          <w:bCs/>
          <w:lang w:val="id-ID"/>
        </w:rPr>
      </w:pPr>
      <w:r>
        <w:rPr>
          <w:rFonts w:ascii="Arial" w:hAnsi="Arial" w:cs="Arial"/>
          <w:b/>
          <w:bCs/>
          <w:noProof/>
          <w:lang w:val="id-ID"/>
        </w:rPr>
        <w:drawing>
          <wp:anchor distT="0" distB="0" distL="114300" distR="114300" simplePos="0" relativeHeight="251660288" behindDoc="0" locked="0" layoutInCell="1" allowOverlap="1" wp14:anchorId="01714EBA" wp14:editId="12D93CBB">
            <wp:simplePos x="0" y="0"/>
            <wp:positionH relativeFrom="margin">
              <wp:posOffset>-679450</wp:posOffset>
            </wp:positionH>
            <wp:positionV relativeFrom="margin">
              <wp:posOffset>5041900</wp:posOffset>
            </wp:positionV>
            <wp:extent cx="6642735" cy="3498850"/>
            <wp:effectExtent l="0" t="0" r="5715" b="6350"/>
            <wp:wrapSquare wrapText="bothSides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84" t="-377" r="22733" b="5703"/>
                    <a:stretch/>
                  </pic:blipFill>
                  <pic:spPr bwMode="auto">
                    <a:xfrm>
                      <a:off x="0" y="0"/>
                      <a:ext cx="6642735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215C50" w14:textId="42494DB6" w:rsidR="00CE00FE" w:rsidRDefault="00CE00FE" w:rsidP="00CE00FE">
      <w:pPr>
        <w:tabs>
          <w:tab w:val="left" w:pos="2420"/>
        </w:tabs>
        <w:rPr>
          <w:lang w:val="id-ID"/>
        </w:rPr>
      </w:pPr>
      <w:r>
        <w:rPr>
          <w:lang w:val="id-ID"/>
        </w:rPr>
        <w:tab/>
      </w:r>
    </w:p>
    <w:p w14:paraId="113722A0" w14:textId="2C65E394" w:rsidR="00CE00FE" w:rsidRDefault="00CE00FE" w:rsidP="00CE00FE">
      <w:pPr>
        <w:pStyle w:val="DaftarParagraf"/>
        <w:numPr>
          <w:ilvl w:val="0"/>
          <w:numId w:val="4"/>
        </w:numPr>
        <w:tabs>
          <w:tab w:val="left" w:pos="2420"/>
        </w:tabs>
        <w:rPr>
          <w:lang w:val="id-ID"/>
        </w:rPr>
      </w:pPr>
      <w:r>
        <w:rPr>
          <w:lang w:val="id-ID"/>
        </w:rPr>
        <w:lastRenderedPageBreak/>
        <w:t>BKBH FH Universitas Jember</w:t>
      </w:r>
    </w:p>
    <w:p w14:paraId="03AB6B89" w14:textId="34CA3251" w:rsidR="00CE00FE" w:rsidRPr="00CE00FE" w:rsidRDefault="00CE00FE" w:rsidP="00CE00FE">
      <w:pPr>
        <w:pStyle w:val="DaftarParagraf"/>
        <w:tabs>
          <w:tab w:val="left" w:pos="2420"/>
        </w:tabs>
        <w:rPr>
          <w:lang w:val="id-ID"/>
        </w:rPr>
      </w:pPr>
      <w:r>
        <w:rPr>
          <w:noProof/>
          <w:lang w:val="id-ID"/>
        </w:rPr>
        <w:drawing>
          <wp:anchor distT="0" distB="0" distL="114300" distR="114300" simplePos="0" relativeHeight="251661312" behindDoc="0" locked="0" layoutInCell="1" allowOverlap="1" wp14:anchorId="4DE0DCE0" wp14:editId="66D7A958">
            <wp:simplePos x="0" y="0"/>
            <wp:positionH relativeFrom="margin">
              <wp:posOffset>514350</wp:posOffset>
            </wp:positionH>
            <wp:positionV relativeFrom="margin">
              <wp:posOffset>436880</wp:posOffset>
            </wp:positionV>
            <wp:extent cx="3981450" cy="7315200"/>
            <wp:effectExtent l="0" t="0" r="0" b="0"/>
            <wp:wrapSquare wrapText="bothSides"/>
            <wp:docPr id="4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7" b="14204"/>
                    <a:stretch/>
                  </pic:blipFill>
                  <pic:spPr bwMode="auto">
                    <a:xfrm>
                      <a:off x="0" y="0"/>
                      <a:ext cx="39814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E942A33" w14:textId="47020D6F" w:rsidR="00CE00FE" w:rsidRPr="00CE00FE" w:rsidRDefault="00CE00FE" w:rsidP="00CE00FE">
      <w:pPr>
        <w:rPr>
          <w:lang w:val="id-ID"/>
        </w:rPr>
      </w:pPr>
    </w:p>
    <w:p w14:paraId="48669E82" w14:textId="23DBC4CF" w:rsidR="00CE00FE" w:rsidRPr="00CE00FE" w:rsidRDefault="00CE00FE" w:rsidP="00CE00FE">
      <w:pPr>
        <w:rPr>
          <w:lang w:val="id-ID"/>
        </w:rPr>
      </w:pPr>
    </w:p>
    <w:p w14:paraId="4119FC09" w14:textId="5BFFC132" w:rsidR="00CE00FE" w:rsidRPr="00CE00FE" w:rsidRDefault="00CE00FE" w:rsidP="00CE00FE">
      <w:pPr>
        <w:rPr>
          <w:lang w:val="id-ID"/>
        </w:rPr>
      </w:pPr>
    </w:p>
    <w:p w14:paraId="5B60E54A" w14:textId="3F1531EB" w:rsidR="00CE00FE" w:rsidRPr="00CE00FE" w:rsidRDefault="00CE00FE" w:rsidP="00CE00FE">
      <w:pPr>
        <w:rPr>
          <w:lang w:val="id-ID"/>
        </w:rPr>
      </w:pPr>
    </w:p>
    <w:p w14:paraId="27A49995" w14:textId="70A4B0FC" w:rsidR="00CE00FE" w:rsidRPr="00CE00FE" w:rsidRDefault="00CE00FE" w:rsidP="00CE00FE">
      <w:pPr>
        <w:rPr>
          <w:lang w:val="id-ID"/>
        </w:rPr>
      </w:pPr>
    </w:p>
    <w:p w14:paraId="792694CD" w14:textId="582773FB" w:rsidR="00CE00FE" w:rsidRPr="00CE00FE" w:rsidRDefault="00CE00FE" w:rsidP="00CE00FE">
      <w:pPr>
        <w:rPr>
          <w:lang w:val="id-ID"/>
        </w:rPr>
      </w:pPr>
    </w:p>
    <w:p w14:paraId="7C995998" w14:textId="220F0E43" w:rsidR="00CE00FE" w:rsidRPr="00CE00FE" w:rsidRDefault="00CE00FE" w:rsidP="00CE00FE">
      <w:pPr>
        <w:rPr>
          <w:lang w:val="id-ID"/>
        </w:rPr>
      </w:pPr>
    </w:p>
    <w:p w14:paraId="36A2E580" w14:textId="224B2C14" w:rsidR="00CE00FE" w:rsidRPr="00CE00FE" w:rsidRDefault="00CE00FE" w:rsidP="00CE00FE">
      <w:pPr>
        <w:rPr>
          <w:lang w:val="id-ID"/>
        </w:rPr>
      </w:pPr>
    </w:p>
    <w:p w14:paraId="38E6C72B" w14:textId="0873968A" w:rsidR="00CE00FE" w:rsidRPr="00CE00FE" w:rsidRDefault="00CE00FE" w:rsidP="00CE00FE">
      <w:pPr>
        <w:rPr>
          <w:lang w:val="id-ID"/>
        </w:rPr>
      </w:pPr>
    </w:p>
    <w:p w14:paraId="5562DE69" w14:textId="4CFB376A" w:rsidR="00CE00FE" w:rsidRPr="00CE00FE" w:rsidRDefault="00CE00FE" w:rsidP="00CE00FE">
      <w:pPr>
        <w:rPr>
          <w:lang w:val="id-ID"/>
        </w:rPr>
      </w:pPr>
    </w:p>
    <w:p w14:paraId="5C89AC1B" w14:textId="289C7668" w:rsidR="00CE00FE" w:rsidRPr="00CE00FE" w:rsidRDefault="00CE00FE" w:rsidP="00CE00FE">
      <w:pPr>
        <w:rPr>
          <w:lang w:val="id-ID"/>
        </w:rPr>
      </w:pPr>
    </w:p>
    <w:p w14:paraId="15772B28" w14:textId="77777777" w:rsidR="00CE00FE" w:rsidRPr="00CE00FE" w:rsidRDefault="00CE00FE" w:rsidP="00CE00FE">
      <w:pPr>
        <w:rPr>
          <w:lang w:val="id-ID"/>
        </w:rPr>
      </w:pPr>
    </w:p>
    <w:sectPr w:rsidR="00CE00FE" w:rsidRPr="00CE0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4308"/>
    <w:multiLevelType w:val="hybridMultilevel"/>
    <w:tmpl w:val="93DE3F4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1259F"/>
    <w:multiLevelType w:val="hybridMultilevel"/>
    <w:tmpl w:val="7B96C498"/>
    <w:lvl w:ilvl="0" w:tplc="599055E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7503F5"/>
    <w:multiLevelType w:val="hybridMultilevel"/>
    <w:tmpl w:val="DA162A34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3D939BE"/>
    <w:multiLevelType w:val="hybridMultilevel"/>
    <w:tmpl w:val="03344D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BFE"/>
    <w:rsid w:val="00171D59"/>
    <w:rsid w:val="002302F6"/>
    <w:rsid w:val="0025451E"/>
    <w:rsid w:val="00285ADB"/>
    <w:rsid w:val="004511EC"/>
    <w:rsid w:val="00466DB6"/>
    <w:rsid w:val="0050798C"/>
    <w:rsid w:val="0051310D"/>
    <w:rsid w:val="00536758"/>
    <w:rsid w:val="00654A58"/>
    <w:rsid w:val="006A1B44"/>
    <w:rsid w:val="006F498E"/>
    <w:rsid w:val="007117EE"/>
    <w:rsid w:val="007E31B1"/>
    <w:rsid w:val="008621D9"/>
    <w:rsid w:val="008747BC"/>
    <w:rsid w:val="00940BFE"/>
    <w:rsid w:val="009A7C3E"/>
    <w:rsid w:val="009F5119"/>
    <w:rsid w:val="00A4215A"/>
    <w:rsid w:val="00B01168"/>
    <w:rsid w:val="00CA408A"/>
    <w:rsid w:val="00CA7079"/>
    <w:rsid w:val="00CE00FE"/>
    <w:rsid w:val="00D242FB"/>
    <w:rsid w:val="00DC5674"/>
    <w:rsid w:val="00DF56F8"/>
    <w:rsid w:val="00E063B3"/>
    <w:rsid w:val="00E93D58"/>
    <w:rsid w:val="00F55A80"/>
    <w:rsid w:val="00F62D9F"/>
    <w:rsid w:val="00FF0AD9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911F"/>
  <w15:chartTrackingRefBased/>
  <w15:docId w15:val="{B954A190-4DBF-4AB2-A0F4-17ED0A1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66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</dc:creator>
  <cp:keywords/>
  <dc:description/>
  <cp:lastModifiedBy>valensa tendan</cp:lastModifiedBy>
  <cp:revision>8</cp:revision>
  <dcterms:created xsi:type="dcterms:W3CDTF">2021-12-07T22:01:00Z</dcterms:created>
  <dcterms:modified xsi:type="dcterms:W3CDTF">2021-12-08T09:25:00Z</dcterms:modified>
</cp:coreProperties>
</file>