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5CE94" w14:textId="4D4B01F0" w:rsidR="00940BFE" w:rsidRDefault="00940BFE" w:rsidP="00940BFE">
      <w:pPr>
        <w:spacing w:after="0"/>
        <w:jc w:val="center"/>
        <w:rPr>
          <w:rFonts w:ascii="Arial" w:hAnsi="Arial" w:cs="Arial"/>
          <w:b/>
          <w:bCs/>
        </w:rPr>
      </w:pPr>
      <w:r w:rsidRPr="00940BFE">
        <w:rPr>
          <w:rFonts w:ascii="Arial" w:hAnsi="Arial" w:cs="Arial"/>
          <w:b/>
          <w:bCs/>
        </w:rPr>
        <w:t>LAPORAN RENCANA AKSI NASIONAL OPEN GOVERNMENT INDONESIA</w:t>
      </w:r>
    </w:p>
    <w:p w14:paraId="51963AFD" w14:textId="3C91CC78" w:rsidR="00654A58" w:rsidRPr="00940BFE" w:rsidRDefault="00654A58" w:rsidP="00940BFE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BADAN PEMBINAAN HUKUM NASIONAL</w:t>
      </w:r>
    </w:p>
    <w:p w14:paraId="4995237E" w14:textId="77777777" w:rsidR="007E1C50" w:rsidRDefault="00940BFE" w:rsidP="00940BFE">
      <w:pPr>
        <w:spacing w:after="0"/>
        <w:jc w:val="center"/>
        <w:rPr>
          <w:rFonts w:ascii="Arial" w:hAnsi="Arial" w:cs="Arial"/>
          <w:b/>
          <w:bCs/>
        </w:rPr>
      </w:pPr>
      <w:r w:rsidRPr="00940BFE">
        <w:rPr>
          <w:rFonts w:ascii="Arial" w:hAnsi="Arial" w:cs="Arial"/>
          <w:b/>
          <w:bCs/>
        </w:rPr>
        <w:t>“</w:t>
      </w:r>
      <w:r w:rsidR="00E638A8" w:rsidRPr="00E638A8">
        <w:rPr>
          <w:rFonts w:ascii="Arial" w:hAnsi="Arial" w:cs="Arial"/>
          <w:b/>
          <w:bCs/>
        </w:rPr>
        <w:t xml:space="preserve">Inklusi Kelompok Rentan dan Gender </w:t>
      </w:r>
    </w:p>
    <w:p w14:paraId="6E401D33" w14:textId="797F6B1E" w:rsidR="00940BFE" w:rsidRDefault="00E638A8" w:rsidP="00940BFE">
      <w:pPr>
        <w:spacing w:after="0"/>
        <w:jc w:val="center"/>
        <w:rPr>
          <w:rFonts w:ascii="Arial" w:hAnsi="Arial" w:cs="Arial"/>
          <w:b/>
          <w:bCs/>
        </w:rPr>
      </w:pPr>
      <w:r w:rsidRPr="00E638A8">
        <w:rPr>
          <w:rFonts w:ascii="Arial" w:hAnsi="Arial" w:cs="Arial"/>
          <w:b/>
          <w:bCs/>
        </w:rPr>
        <w:t>dalam Pemberian Bantuan Hukum bagi Korban</w:t>
      </w:r>
      <w:r w:rsidR="00940BFE" w:rsidRPr="00940BFE">
        <w:rPr>
          <w:rFonts w:ascii="Arial" w:hAnsi="Arial" w:cs="Arial"/>
          <w:b/>
          <w:bCs/>
        </w:rPr>
        <w:t>”</w:t>
      </w:r>
    </w:p>
    <w:p w14:paraId="0DAA3C38" w14:textId="56D4F74D" w:rsidR="00285ADB" w:rsidRDefault="00285ADB" w:rsidP="00940BFE">
      <w:pPr>
        <w:spacing w:after="0"/>
        <w:jc w:val="center"/>
        <w:rPr>
          <w:rFonts w:ascii="Arial" w:hAnsi="Arial" w:cs="Arial"/>
          <w:b/>
          <w:bCs/>
        </w:rPr>
      </w:pPr>
    </w:p>
    <w:p w14:paraId="43201F56" w14:textId="77777777" w:rsidR="00285ADB" w:rsidRDefault="00285ADB" w:rsidP="00940BFE">
      <w:pPr>
        <w:spacing w:after="0"/>
        <w:jc w:val="center"/>
        <w:rPr>
          <w:rFonts w:ascii="Arial" w:hAnsi="Arial" w:cs="Arial"/>
          <w:b/>
          <w:bCs/>
        </w:rPr>
      </w:pPr>
    </w:p>
    <w:p w14:paraId="12E49F71" w14:textId="44FF50D2" w:rsidR="00940BFE" w:rsidRDefault="00654A58" w:rsidP="007E1C50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Sasaran Keberhasilan </w:t>
      </w:r>
      <w:r>
        <w:rPr>
          <w:rFonts w:ascii="Arial" w:hAnsi="Arial" w:cs="Arial"/>
          <w:b/>
          <w:bCs/>
        </w:rPr>
        <w:tab/>
        <w:t xml:space="preserve">: </w:t>
      </w:r>
      <w:r w:rsidR="00FF0AD9">
        <w:rPr>
          <w:rFonts w:ascii="Arial" w:hAnsi="Arial" w:cs="Arial"/>
          <w:b/>
          <w:bCs/>
        </w:rPr>
        <w:tab/>
      </w:r>
      <w:r w:rsidR="007E1C50" w:rsidRPr="007E1C50">
        <w:rPr>
          <w:rFonts w:ascii="Arial" w:hAnsi="Arial" w:cs="Arial"/>
          <w:b/>
          <w:bCs/>
        </w:rPr>
        <w:t>Inklusi Kelompok Rentan dan Gender dalam Pemberian Bantuan Hukum bagi Korban</w:t>
      </w:r>
    </w:p>
    <w:p w14:paraId="040F7724" w14:textId="3FEC67BA" w:rsidR="004511EC" w:rsidRDefault="00654A58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Ukuran Keberhasilan</w:t>
      </w:r>
      <w:r>
        <w:rPr>
          <w:rFonts w:ascii="Arial" w:hAnsi="Arial" w:cs="Arial"/>
          <w:b/>
          <w:bCs/>
        </w:rPr>
        <w:tab/>
        <w:t xml:space="preserve">: </w:t>
      </w:r>
      <w:r w:rsidR="00FF0AD9">
        <w:rPr>
          <w:rFonts w:ascii="Arial" w:hAnsi="Arial" w:cs="Arial"/>
          <w:b/>
          <w:bCs/>
        </w:rPr>
        <w:tab/>
      </w:r>
      <w:r w:rsidR="007E1C50" w:rsidRPr="007E1C50">
        <w:rPr>
          <w:rFonts w:ascii="Arial" w:hAnsi="Arial" w:cs="Arial"/>
          <w:b/>
          <w:bCs/>
        </w:rPr>
        <w:t>Tersedianya langkah kebijakan bantuan hukum untuk korban terutama kelompok rentan dan perempuan</w:t>
      </w:r>
    </w:p>
    <w:p w14:paraId="5A98A5E0" w14:textId="7504AF15" w:rsidR="00FF0AD9" w:rsidRDefault="00FF0AD9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B12 (2021)</w:t>
      </w:r>
      <w:r>
        <w:rPr>
          <w:rFonts w:ascii="Arial" w:hAnsi="Arial" w:cs="Arial"/>
          <w:b/>
          <w:bCs/>
        </w:rPr>
        <w:tab/>
        <w:t>:</w:t>
      </w:r>
      <w:r>
        <w:rPr>
          <w:rFonts w:ascii="Arial" w:hAnsi="Arial" w:cs="Arial"/>
          <w:b/>
          <w:bCs/>
        </w:rPr>
        <w:tab/>
      </w:r>
      <w:r w:rsidR="008008F0" w:rsidRPr="008008F0">
        <w:rPr>
          <w:rFonts w:ascii="Arial" w:hAnsi="Arial" w:cs="Arial"/>
          <w:b/>
          <w:bCs/>
        </w:rPr>
        <w:t>Evaluasi kebijakan bantuan hukum terkait pemberian bantuan hukum bagi korban terutama kelompok rentan dan perempuan</w:t>
      </w:r>
    </w:p>
    <w:p w14:paraId="0FC29CF4" w14:textId="380BE9E6" w:rsidR="006A1B44" w:rsidRDefault="006A1B44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</w:p>
    <w:p w14:paraId="00FC5B5C" w14:textId="6C499590" w:rsidR="006A1B44" w:rsidRDefault="006A1B44" w:rsidP="00FF0AD9">
      <w:pPr>
        <w:tabs>
          <w:tab w:val="left" w:pos="2835"/>
          <w:tab w:val="left" w:pos="3119"/>
        </w:tabs>
        <w:spacing w:after="0"/>
        <w:ind w:left="3119" w:hanging="3119"/>
        <w:jc w:val="both"/>
        <w:rPr>
          <w:rFonts w:ascii="Arial" w:hAnsi="Arial" w:cs="Arial"/>
          <w:b/>
          <w:bCs/>
        </w:rPr>
      </w:pPr>
    </w:p>
    <w:p w14:paraId="2A10BB41" w14:textId="1F31649E" w:rsidR="00AF74AB" w:rsidRPr="00AF74AB" w:rsidRDefault="00AF74AB" w:rsidP="00AF74AB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Sebagaimana telah disampaikan sebelumnya bahwa </w:t>
      </w:r>
      <w:r w:rsidR="00403631">
        <w:rPr>
          <w:rFonts w:ascii="Arial" w:hAnsi="Arial" w:cs="Arial"/>
        </w:rPr>
        <w:t>t</w:t>
      </w:r>
      <w:r w:rsidRPr="00AF74AB">
        <w:rPr>
          <w:rFonts w:ascii="Arial" w:hAnsi="Arial" w:cs="Arial"/>
        </w:rPr>
        <w:t>erdapat beberapa</w:t>
      </w:r>
      <w:r>
        <w:rPr>
          <w:rFonts w:ascii="Arial" w:hAnsi="Arial" w:cs="Arial"/>
        </w:rPr>
        <w:t xml:space="preserve"> </w:t>
      </w:r>
      <w:r w:rsidRPr="00AF74AB">
        <w:rPr>
          <w:rFonts w:ascii="Arial" w:hAnsi="Arial" w:cs="Arial"/>
        </w:rPr>
        <w:t xml:space="preserve">masalah yang dapat diungkapkan terkait </w:t>
      </w:r>
      <w:r w:rsidR="00403631">
        <w:rPr>
          <w:rFonts w:ascii="Arial" w:hAnsi="Arial" w:cs="Arial"/>
        </w:rPr>
        <w:t>Undang-Undang Nomor 16 Tahun 2011 tentang Bantuan Hukum</w:t>
      </w:r>
      <w:r w:rsidRPr="00AF74AB">
        <w:rPr>
          <w:rFonts w:ascii="Arial" w:hAnsi="Arial" w:cs="Arial"/>
        </w:rPr>
        <w:t xml:space="preserve"> </w:t>
      </w:r>
      <w:r w:rsidR="00403631">
        <w:rPr>
          <w:rFonts w:ascii="Arial" w:hAnsi="Arial" w:cs="Arial"/>
        </w:rPr>
        <w:t>sebagai refleksi 9 (sembilan) tahun usianya. Adapun beberapa masalah tersebut yaitu sebagai berikut :</w:t>
      </w:r>
    </w:p>
    <w:p w14:paraId="00EC3E8C" w14:textId="1211FFE6" w:rsidR="00AF74AB" w:rsidRPr="00403631" w:rsidRDefault="00AF74AB" w:rsidP="00E7626A">
      <w:pPr>
        <w:pStyle w:val="DaftarParagraf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03631">
        <w:rPr>
          <w:rFonts w:ascii="Arial" w:hAnsi="Arial" w:cs="Arial"/>
        </w:rPr>
        <w:t>Beberapa provinsi di Indonesia, memiliki jumlah Pemberi Bantuan Hukum PBH tersebut hanya terkonsentrasi di ibukota pada tiap-tiap provinsi,</w:t>
      </w:r>
      <w:r w:rsidR="00403631" w:rsidRPr="00403631">
        <w:rPr>
          <w:rFonts w:ascii="Arial" w:hAnsi="Arial" w:cs="Arial"/>
        </w:rPr>
        <w:t xml:space="preserve"> </w:t>
      </w:r>
      <w:r w:rsidRPr="00403631">
        <w:rPr>
          <w:rFonts w:ascii="Arial" w:hAnsi="Arial" w:cs="Arial"/>
        </w:rPr>
        <w:t>sehingga tidak dapat menjangkau sampai pada tingkat kabupaten/ kota;</w:t>
      </w:r>
    </w:p>
    <w:p w14:paraId="7BE23B2B" w14:textId="2F2E6C35" w:rsidR="00AF74AB" w:rsidRPr="00403631" w:rsidRDefault="00AF74AB" w:rsidP="00E626B1">
      <w:pPr>
        <w:pStyle w:val="DaftarParagraf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03631">
        <w:rPr>
          <w:rFonts w:ascii="Arial" w:hAnsi="Arial" w:cs="Arial"/>
        </w:rPr>
        <w:t>Bantuan hukum dinilai belum dapat memberikan akses keadilan yang</w:t>
      </w:r>
      <w:r w:rsidR="00403631" w:rsidRPr="00403631">
        <w:rPr>
          <w:rFonts w:ascii="Arial" w:hAnsi="Arial" w:cs="Arial"/>
        </w:rPr>
        <w:t xml:space="preserve"> </w:t>
      </w:r>
      <w:r w:rsidRPr="00403631">
        <w:rPr>
          <w:rFonts w:ascii="Arial" w:hAnsi="Arial" w:cs="Arial"/>
        </w:rPr>
        <w:t>sama bagi seluruh warga negara khususnya kelompok rentan. Pada</w:t>
      </w:r>
      <w:r w:rsidR="00403631" w:rsidRPr="00403631">
        <w:rPr>
          <w:rFonts w:ascii="Arial" w:hAnsi="Arial" w:cs="Arial"/>
        </w:rPr>
        <w:t xml:space="preserve"> </w:t>
      </w:r>
      <w:r w:rsidRPr="00403631">
        <w:rPr>
          <w:rFonts w:ascii="Arial" w:hAnsi="Arial" w:cs="Arial"/>
        </w:rPr>
        <w:t>dasarnya setiap warga negara kedudukannya sama di hadapan hukum</w:t>
      </w:r>
      <w:r w:rsidR="00403631" w:rsidRPr="00403631">
        <w:rPr>
          <w:rFonts w:ascii="Arial" w:hAnsi="Arial" w:cs="Arial"/>
        </w:rPr>
        <w:t xml:space="preserve"> </w:t>
      </w:r>
      <w:r w:rsidRPr="00403631">
        <w:rPr>
          <w:rFonts w:ascii="Arial" w:hAnsi="Arial" w:cs="Arial"/>
        </w:rPr>
        <w:t>(</w:t>
      </w:r>
      <w:r w:rsidRPr="0051352E">
        <w:rPr>
          <w:rFonts w:ascii="Arial" w:hAnsi="Arial" w:cs="Arial"/>
          <w:i/>
          <w:iCs/>
        </w:rPr>
        <w:t>Equality before the law</w:t>
      </w:r>
      <w:r w:rsidRPr="00403631">
        <w:rPr>
          <w:rFonts w:ascii="Arial" w:hAnsi="Arial" w:cs="Arial"/>
        </w:rPr>
        <w:t>) dan negara bertanggungjawab atas fakir miskin</w:t>
      </w:r>
      <w:r w:rsidR="00403631" w:rsidRPr="00403631">
        <w:rPr>
          <w:rFonts w:ascii="Arial" w:hAnsi="Arial" w:cs="Arial"/>
        </w:rPr>
        <w:t xml:space="preserve"> </w:t>
      </w:r>
      <w:r w:rsidRPr="00403631">
        <w:rPr>
          <w:rFonts w:ascii="Arial" w:hAnsi="Arial" w:cs="Arial"/>
        </w:rPr>
        <w:t>salah satunya dana dalam APBN untuk bantuan hukum, sehingga segala</w:t>
      </w:r>
      <w:r w:rsidR="00403631" w:rsidRPr="00403631">
        <w:rPr>
          <w:rFonts w:ascii="Arial" w:hAnsi="Arial" w:cs="Arial"/>
        </w:rPr>
        <w:t xml:space="preserve"> </w:t>
      </w:r>
      <w:r w:rsidRPr="00403631">
        <w:rPr>
          <w:rFonts w:ascii="Arial" w:hAnsi="Arial" w:cs="Arial"/>
        </w:rPr>
        <w:t>kalangan dapat mengakses bantuan hukum tersebut. Bantuan hukum</w:t>
      </w:r>
      <w:r w:rsidR="00403631" w:rsidRPr="00403631">
        <w:rPr>
          <w:rFonts w:ascii="Arial" w:hAnsi="Arial" w:cs="Arial"/>
        </w:rPr>
        <w:t xml:space="preserve"> </w:t>
      </w:r>
      <w:r w:rsidRPr="00403631">
        <w:rPr>
          <w:rFonts w:ascii="Arial" w:hAnsi="Arial" w:cs="Arial"/>
        </w:rPr>
        <w:t>menjadi salah satu bentuk pelaksanaan kewajiban Negara yaitu menjamin</w:t>
      </w:r>
      <w:r w:rsidR="00403631" w:rsidRPr="00403631">
        <w:rPr>
          <w:rFonts w:ascii="Arial" w:hAnsi="Arial" w:cs="Arial"/>
        </w:rPr>
        <w:t xml:space="preserve"> </w:t>
      </w:r>
      <w:r w:rsidRPr="00403631">
        <w:rPr>
          <w:rFonts w:ascii="Arial" w:hAnsi="Arial" w:cs="Arial"/>
        </w:rPr>
        <w:t>system hukum yang adil dan menjamin pelaksanaan Hak asasi warga</w:t>
      </w:r>
      <w:r w:rsidR="00403631" w:rsidRPr="00403631">
        <w:rPr>
          <w:rFonts w:ascii="Arial" w:hAnsi="Arial" w:cs="Arial"/>
        </w:rPr>
        <w:t xml:space="preserve"> </w:t>
      </w:r>
      <w:r w:rsidRPr="00403631">
        <w:rPr>
          <w:rFonts w:ascii="Arial" w:hAnsi="Arial" w:cs="Arial"/>
        </w:rPr>
        <w:t>negaranya, dalam hal ini adalah keadilan (</w:t>
      </w:r>
      <w:r w:rsidRPr="0051352E">
        <w:rPr>
          <w:rFonts w:ascii="Arial" w:hAnsi="Arial" w:cs="Arial"/>
          <w:i/>
          <w:iCs/>
        </w:rPr>
        <w:t>Access to Justice</w:t>
      </w:r>
      <w:r w:rsidRPr="00403631">
        <w:rPr>
          <w:rFonts w:ascii="Arial" w:hAnsi="Arial" w:cs="Arial"/>
        </w:rPr>
        <w:t>);</w:t>
      </w:r>
    </w:p>
    <w:p w14:paraId="4643D7FD" w14:textId="71446505" w:rsidR="00AF74AB" w:rsidRPr="004D0403" w:rsidRDefault="00AF74AB" w:rsidP="00500F98">
      <w:pPr>
        <w:pStyle w:val="DaftarParagraf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D0403">
        <w:rPr>
          <w:rFonts w:ascii="Arial" w:hAnsi="Arial" w:cs="Arial"/>
        </w:rPr>
        <w:t>Pelaksanaan bantuan hukum saat ini lebih menitikberatkan pada</w:t>
      </w:r>
      <w:r w:rsidR="00403631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pendampingan litigasi dan alokasi pembiayaan tersebut digunakan untuk</w:t>
      </w:r>
      <w:r w:rsidR="00403631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 xml:space="preserve">pendampingan bagi pelaku. </w:t>
      </w:r>
      <w:r w:rsidRPr="0051352E">
        <w:rPr>
          <w:rFonts w:ascii="Arial" w:hAnsi="Arial" w:cs="Arial"/>
          <w:b/>
          <w:bCs/>
        </w:rPr>
        <w:t>Sedangkan bagi korban, sementara ini</w:t>
      </w:r>
      <w:r w:rsidR="00403631" w:rsidRPr="0051352E">
        <w:rPr>
          <w:rFonts w:ascii="Arial" w:hAnsi="Arial" w:cs="Arial"/>
          <w:b/>
          <w:bCs/>
        </w:rPr>
        <w:t xml:space="preserve"> </w:t>
      </w:r>
      <w:r w:rsidRPr="0051352E">
        <w:rPr>
          <w:rFonts w:ascii="Arial" w:hAnsi="Arial" w:cs="Arial"/>
          <w:b/>
          <w:bCs/>
        </w:rPr>
        <w:t>bantuan hukum yang diberikan berbentuk kegiatan-kegiatan non litigasi</w:t>
      </w:r>
      <w:r w:rsidR="00403631" w:rsidRPr="0051352E">
        <w:rPr>
          <w:rFonts w:ascii="Arial" w:hAnsi="Arial" w:cs="Arial"/>
          <w:b/>
          <w:bCs/>
        </w:rPr>
        <w:t xml:space="preserve"> </w:t>
      </w:r>
      <w:r w:rsidRPr="0051352E">
        <w:rPr>
          <w:rFonts w:ascii="Arial" w:hAnsi="Arial" w:cs="Arial"/>
          <w:b/>
          <w:bCs/>
        </w:rPr>
        <w:t>seperti konsultasi hukum dan pendampingan di luar pengadilan yang</w:t>
      </w:r>
      <w:r w:rsidR="00403631" w:rsidRPr="0051352E">
        <w:rPr>
          <w:rFonts w:ascii="Arial" w:hAnsi="Arial" w:cs="Arial"/>
          <w:b/>
          <w:bCs/>
        </w:rPr>
        <w:t xml:space="preserve"> </w:t>
      </w:r>
      <w:r w:rsidRPr="0051352E">
        <w:rPr>
          <w:rFonts w:ascii="Arial" w:hAnsi="Arial" w:cs="Arial"/>
          <w:b/>
          <w:bCs/>
        </w:rPr>
        <w:t>besaran biayanya tidak cukup besar. Maka dukungan bantuan hukum</w:t>
      </w:r>
      <w:r w:rsidR="00403631" w:rsidRPr="0051352E">
        <w:rPr>
          <w:rFonts w:ascii="Arial" w:hAnsi="Arial" w:cs="Arial"/>
          <w:b/>
          <w:bCs/>
        </w:rPr>
        <w:t xml:space="preserve"> </w:t>
      </w:r>
      <w:r w:rsidRPr="0051352E">
        <w:rPr>
          <w:rFonts w:ascii="Arial" w:hAnsi="Arial" w:cs="Arial"/>
          <w:b/>
          <w:bCs/>
        </w:rPr>
        <w:t>bagi korban seringkali hanya melingkupi sampai tahap pelaporan atau</w:t>
      </w:r>
      <w:r w:rsidR="004D0403" w:rsidRPr="0051352E">
        <w:rPr>
          <w:rFonts w:ascii="Arial" w:hAnsi="Arial" w:cs="Arial"/>
          <w:b/>
          <w:bCs/>
        </w:rPr>
        <w:t xml:space="preserve"> </w:t>
      </w:r>
      <w:r w:rsidRPr="0051352E">
        <w:rPr>
          <w:rFonts w:ascii="Arial" w:hAnsi="Arial" w:cs="Arial"/>
          <w:b/>
          <w:bCs/>
        </w:rPr>
        <w:t>pemeriksaan di tingkat kepolisian, padahal seharusnya bisa melingkupi</w:t>
      </w:r>
      <w:r w:rsidR="004D0403" w:rsidRPr="0051352E">
        <w:rPr>
          <w:rFonts w:ascii="Arial" w:hAnsi="Arial" w:cs="Arial"/>
          <w:b/>
          <w:bCs/>
        </w:rPr>
        <w:t xml:space="preserve"> </w:t>
      </w:r>
      <w:r w:rsidRPr="0051352E">
        <w:rPr>
          <w:rFonts w:ascii="Arial" w:hAnsi="Arial" w:cs="Arial"/>
          <w:b/>
          <w:bCs/>
        </w:rPr>
        <w:t>sampai masalah non penanganan perkara seperti tahap pemulihan dan</w:t>
      </w:r>
      <w:r w:rsidR="004D0403" w:rsidRPr="0051352E">
        <w:rPr>
          <w:rFonts w:ascii="Arial" w:hAnsi="Arial" w:cs="Arial"/>
          <w:b/>
          <w:bCs/>
        </w:rPr>
        <w:t xml:space="preserve"> </w:t>
      </w:r>
      <w:r w:rsidRPr="0051352E">
        <w:rPr>
          <w:rFonts w:ascii="Arial" w:hAnsi="Arial" w:cs="Arial"/>
          <w:b/>
          <w:bCs/>
        </w:rPr>
        <w:t>akses kebutuhan khusus untuk beberapa kasus tertentu, seperti</w:t>
      </w:r>
      <w:r w:rsidR="004D0403" w:rsidRPr="0051352E">
        <w:rPr>
          <w:rFonts w:ascii="Arial" w:hAnsi="Arial" w:cs="Arial"/>
          <w:b/>
          <w:bCs/>
        </w:rPr>
        <w:t xml:space="preserve"> </w:t>
      </w:r>
      <w:r w:rsidRPr="0051352E">
        <w:rPr>
          <w:rFonts w:ascii="Arial" w:hAnsi="Arial" w:cs="Arial"/>
          <w:b/>
          <w:bCs/>
        </w:rPr>
        <w:t>rehabilitasi psikologi, konseling, rumah aman, dan lain sebagainya.</w:t>
      </w:r>
      <w:r w:rsidRPr="004D0403">
        <w:rPr>
          <w:rFonts w:ascii="Arial" w:hAnsi="Arial" w:cs="Arial"/>
        </w:rPr>
        <w:t xml:space="preserve"> Belum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lagi jika kelompok rentan ini kesulitan didalam memperoleh Surat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 xml:space="preserve">Keterangan Tidak Mampu (SKTM) yang menjadi syarat </w:t>
      </w:r>
      <w:r w:rsidRPr="004D0403">
        <w:rPr>
          <w:rFonts w:ascii="Arial" w:hAnsi="Arial" w:cs="Arial"/>
        </w:rPr>
        <w:lastRenderedPageBreak/>
        <w:t>memperoleh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bantuan hukum, maka perlu dipikirkan kembali penyederhanaan prosedur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memperoleh SKTM dengan memperhatikan kelompok rentan;</w:t>
      </w:r>
    </w:p>
    <w:p w14:paraId="52FDB4E3" w14:textId="10D37706" w:rsidR="00AF74AB" w:rsidRPr="004D0403" w:rsidRDefault="00AF74AB" w:rsidP="00AC27E7">
      <w:pPr>
        <w:pStyle w:val="DaftarParagraf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D0403">
        <w:rPr>
          <w:rFonts w:ascii="Arial" w:hAnsi="Arial" w:cs="Arial"/>
        </w:rPr>
        <w:t>Ruang lingkup kegiatan bantuan hukum. Undang-Undang Bantuan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Hukum membagi ruang lingkup kegiatan meliputi masalah hukum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keperdataan, pidana, dan tata usaha negara baik litigasi maupun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nonlitigasi;</w:t>
      </w:r>
    </w:p>
    <w:p w14:paraId="5EEC8819" w14:textId="3AF67824" w:rsidR="00AF74AB" w:rsidRPr="004D0403" w:rsidRDefault="00AF74AB" w:rsidP="00A811D1">
      <w:pPr>
        <w:pStyle w:val="DaftarParagraf"/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Arial" w:hAnsi="Arial" w:cs="Arial"/>
        </w:rPr>
      </w:pPr>
      <w:r w:rsidRPr="004D0403">
        <w:rPr>
          <w:rFonts w:ascii="Arial" w:hAnsi="Arial" w:cs="Arial"/>
        </w:rPr>
        <w:t>Dalam hal lainnya, akses keadilan bagi masyarakat miskin atau kelompok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rentan juga dibutuhkan pada saat hak-hak konstitusionalnya dilanggar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oleh suatu peraturan perundang-undangan. Bantuan hukum dalam litigasi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saat ini memang sudah meliputi masalah hukum keperdataan, pidana, dan tata usaha, namun tidak untuk judicial review, hak uji materiil.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Terhadap pengujian sebuah aturan sudah seharusnya masyarakat miskin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dan kelompok rentan juga memiliki kesempatan yang sama untuk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memperjuangkan haknya, apalagi hal ini juga terkait dengan beban biaya</w:t>
      </w:r>
      <w:r w:rsidR="004D0403" w:rsidRPr="004D0403">
        <w:rPr>
          <w:rFonts w:ascii="Arial" w:hAnsi="Arial" w:cs="Arial"/>
        </w:rPr>
        <w:t xml:space="preserve"> </w:t>
      </w:r>
      <w:r w:rsidRPr="004D0403">
        <w:rPr>
          <w:rFonts w:ascii="Arial" w:hAnsi="Arial" w:cs="Arial"/>
        </w:rPr>
        <w:t>administrasi judicial review itu sendiri.</w:t>
      </w:r>
      <w:r w:rsidR="004D0403">
        <w:rPr>
          <w:rFonts w:ascii="Arial" w:hAnsi="Arial" w:cs="Arial"/>
        </w:rPr>
        <w:t xml:space="preserve"> </w:t>
      </w:r>
    </w:p>
    <w:p w14:paraId="39317F21" w14:textId="4DF5EA75" w:rsidR="00C95BE8" w:rsidRDefault="00C95BE8" w:rsidP="00C95BE8">
      <w:pPr>
        <w:spacing w:after="0" w:line="360" w:lineRule="auto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Terhadap hal-hal tersebut diatas, telah dilakukan analisis dan evaluasi terhadap peratiran perundang-undangan yang terkait dengan akses pelayanan Bantuan Hukum. </w:t>
      </w:r>
      <w:r w:rsidRPr="00C95BE8">
        <w:rPr>
          <w:rFonts w:ascii="Arial" w:hAnsi="Arial" w:cs="Arial"/>
        </w:rPr>
        <w:t>Melalui analisis dan evaluasi hukum akan dilakukan identifikasi terhadap</w:t>
      </w:r>
      <w:r>
        <w:rPr>
          <w:rFonts w:ascii="Arial" w:hAnsi="Arial" w:cs="Arial"/>
        </w:rPr>
        <w:t xml:space="preserve"> </w:t>
      </w:r>
      <w:r w:rsidRPr="00C95BE8">
        <w:rPr>
          <w:rFonts w:ascii="Arial" w:hAnsi="Arial" w:cs="Arial"/>
        </w:rPr>
        <w:t>persoalan-persoalan kelompok rentan dan perempuan yang terdapat pada</w:t>
      </w:r>
      <w:r>
        <w:rPr>
          <w:rFonts w:ascii="Arial" w:hAnsi="Arial" w:cs="Arial"/>
        </w:rPr>
        <w:t xml:space="preserve"> </w:t>
      </w:r>
      <w:r w:rsidRPr="00C95BE8">
        <w:rPr>
          <w:rFonts w:ascii="Arial" w:hAnsi="Arial" w:cs="Arial"/>
        </w:rPr>
        <w:t>peraturan perundang-undangan terkait akses pelayanan bantuan hukum baik</w:t>
      </w:r>
      <w:r>
        <w:rPr>
          <w:rFonts w:ascii="Arial" w:hAnsi="Arial" w:cs="Arial"/>
        </w:rPr>
        <w:t xml:space="preserve"> </w:t>
      </w:r>
      <w:r w:rsidRPr="00C95BE8">
        <w:rPr>
          <w:rFonts w:ascii="Arial" w:hAnsi="Arial" w:cs="Arial"/>
        </w:rPr>
        <w:t>pada tataran normatif maupun efektivitas implementasinya. Hasil analisis dan</w:t>
      </w:r>
      <w:r>
        <w:rPr>
          <w:rFonts w:ascii="Arial" w:hAnsi="Arial" w:cs="Arial"/>
        </w:rPr>
        <w:t xml:space="preserve"> </w:t>
      </w:r>
      <w:r w:rsidRPr="00C95BE8">
        <w:rPr>
          <w:rFonts w:ascii="Arial" w:hAnsi="Arial" w:cs="Arial"/>
        </w:rPr>
        <w:t>evaluasi ini dapat menjadi masukan perbaikan yang objektif terhadap</w:t>
      </w:r>
      <w:r>
        <w:rPr>
          <w:rFonts w:ascii="Arial" w:hAnsi="Arial" w:cs="Arial"/>
        </w:rPr>
        <w:t xml:space="preserve"> </w:t>
      </w:r>
      <w:r w:rsidRPr="00C95BE8">
        <w:rPr>
          <w:rFonts w:ascii="Arial" w:hAnsi="Arial" w:cs="Arial"/>
        </w:rPr>
        <w:t>peraturan perundang-undangan yang dianalisis dan evaluasi dan dengan</w:t>
      </w:r>
      <w:r>
        <w:rPr>
          <w:rFonts w:ascii="Arial" w:hAnsi="Arial" w:cs="Arial"/>
        </w:rPr>
        <w:t xml:space="preserve"> </w:t>
      </w:r>
      <w:r w:rsidRPr="00C95BE8">
        <w:rPr>
          <w:rFonts w:ascii="Arial" w:hAnsi="Arial" w:cs="Arial"/>
        </w:rPr>
        <w:t>demikian diharapkan dapat menjadi bahan masukan bagi pembangunan</w:t>
      </w:r>
      <w:r>
        <w:rPr>
          <w:rFonts w:ascii="Arial" w:hAnsi="Arial" w:cs="Arial"/>
        </w:rPr>
        <w:t xml:space="preserve"> </w:t>
      </w:r>
      <w:r w:rsidRPr="00C95BE8">
        <w:rPr>
          <w:rFonts w:ascii="Arial" w:hAnsi="Arial" w:cs="Arial"/>
        </w:rPr>
        <w:t>hukum nasional.</w:t>
      </w:r>
    </w:p>
    <w:p w14:paraId="52120ED7" w14:textId="77777777" w:rsidR="00DA4F68" w:rsidRDefault="00F55A80" w:rsidP="00F62D9F">
      <w:pPr>
        <w:spacing w:after="0" w:line="360" w:lineRule="auto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Berkaitan dengan </w:t>
      </w:r>
      <w:r w:rsidR="00C95BE8">
        <w:rPr>
          <w:rFonts w:ascii="Arial" w:hAnsi="Arial" w:cs="Arial"/>
        </w:rPr>
        <w:t xml:space="preserve">hal tersebut, Badan Pembinaan Hukum Nasional telah melakukan evaluasi kebijakan Bantuan Hukum terkait pemberian </w:t>
      </w:r>
      <w:r w:rsidR="00910931">
        <w:rPr>
          <w:rFonts w:ascii="Arial" w:hAnsi="Arial" w:cs="Arial"/>
        </w:rPr>
        <w:t>Bantuan Hukum bagi korban, terutama kelompok rentan dan perempuan</w:t>
      </w:r>
      <w:r w:rsidR="00DA4F68">
        <w:rPr>
          <w:rFonts w:ascii="Arial" w:hAnsi="Arial" w:cs="Arial"/>
        </w:rPr>
        <w:t xml:space="preserve">. Adapun hasil evaluasi yang dilakukan dengan metode 6 (enam) dimensi analisis dan evaluasi ini juga diperkuat dengan diskusi yang dilakukan dalam jaringan LBH APIK pada workshop dengan tema : Pembelaan Pidana, yang dikhususkan untuk mendorong perlindungan bagi terdakwa yang rentan. </w:t>
      </w:r>
    </w:p>
    <w:p w14:paraId="6B4323A1" w14:textId="4A1DB89C" w:rsidR="0051310D" w:rsidRPr="00466DB6" w:rsidRDefault="0051310D" w:rsidP="00F62D9F">
      <w:pPr>
        <w:spacing w:after="0" w:line="360" w:lineRule="auto"/>
        <w:ind w:firstLine="720"/>
        <w:jc w:val="both"/>
        <w:rPr>
          <w:rFonts w:ascii="Arial" w:hAnsi="Arial" w:cs="Arial"/>
        </w:rPr>
      </w:pPr>
      <w:r w:rsidRPr="00466DB6">
        <w:rPr>
          <w:rFonts w:ascii="Arial" w:hAnsi="Arial" w:cs="Arial"/>
        </w:rPr>
        <w:t xml:space="preserve">Adapun data dukung </w:t>
      </w:r>
      <w:r w:rsidR="00DA4F68">
        <w:rPr>
          <w:rFonts w:ascii="Arial" w:hAnsi="Arial" w:cs="Arial"/>
        </w:rPr>
        <w:t xml:space="preserve">evaluasi </w:t>
      </w:r>
      <w:r w:rsidR="0051352E">
        <w:rPr>
          <w:rFonts w:ascii="Arial" w:hAnsi="Arial" w:cs="Arial"/>
        </w:rPr>
        <w:t xml:space="preserve">yang telah disarikan dari hasil analisis dan evaluasi yang dilakukan oleh Pusat Analisis dan Evaluasi BPHN </w:t>
      </w:r>
      <w:r w:rsidR="00DA4F68">
        <w:rPr>
          <w:rFonts w:ascii="Arial" w:hAnsi="Arial" w:cs="Arial"/>
        </w:rPr>
        <w:t>dan kegiatan</w:t>
      </w:r>
      <w:r w:rsidR="00A4215A" w:rsidRPr="00466DB6">
        <w:rPr>
          <w:rFonts w:ascii="Arial" w:hAnsi="Arial" w:cs="Arial"/>
        </w:rPr>
        <w:t xml:space="preserve"> sebagaimana dimaksud yaitu terlampir.</w:t>
      </w:r>
    </w:p>
    <w:p w14:paraId="76DB9A79" w14:textId="61C21DD3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6EFF09E1" w14:textId="492B01F6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1F712B6" w14:textId="4E958983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59C945AC" w14:textId="1982C495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48BC4D96" w14:textId="7AF95BF0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4B490E55" w14:textId="4CB7AE5E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3DA91DAC" w14:textId="1BE41AF1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18EA3FA8" w14:textId="6D98DB08" w:rsidR="00A4215A" w:rsidRDefault="00A4215A" w:rsidP="00171D59">
      <w:pPr>
        <w:spacing w:after="0" w:line="360" w:lineRule="auto"/>
        <w:ind w:firstLine="709"/>
        <w:jc w:val="both"/>
        <w:rPr>
          <w:rFonts w:ascii="Arial" w:hAnsi="Arial" w:cs="Arial"/>
        </w:rPr>
      </w:pPr>
    </w:p>
    <w:p w14:paraId="0FF8B086" w14:textId="77777777" w:rsidR="00DA4F68" w:rsidRDefault="00DA4F68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7CC7AE8E" w14:textId="6E6E10DC" w:rsidR="00A4215A" w:rsidRDefault="00A4215A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A4215A">
        <w:rPr>
          <w:rFonts w:ascii="Arial" w:hAnsi="Arial" w:cs="Arial"/>
          <w:b/>
          <w:bCs/>
        </w:rPr>
        <w:t>LAMPIRAN DATA DUKUNG</w:t>
      </w:r>
    </w:p>
    <w:p w14:paraId="0F89C355" w14:textId="33174DA6" w:rsidR="0051352E" w:rsidRDefault="0051352E" w:rsidP="00A4215A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1DF2D025" w14:textId="08ADC08A" w:rsidR="0051352E" w:rsidRDefault="0051352E" w:rsidP="0051352E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HASIL EVALUASI </w:t>
      </w:r>
      <w:r w:rsidR="007E7471">
        <w:rPr>
          <w:rFonts w:ascii="Arial" w:hAnsi="Arial" w:cs="Arial"/>
          <w:b/>
          <w:bCs/>
        </w:rPr>
        <w:t xml:space="preserve">KEBIJAKAN </w:t>
      </w:r>
      <w:r w:rsidR="00773EFC">
        <w:rPr>
          <w:rFonts w:ascii="Arial" w:hAnsi="Arial" w:cs="Arial"/>
          <w:b/>
          <w:bCs/>
        </w:rPr>
        <w:t>“</w:t>
      </w:r>
      <w:r w:rsidR="007E7471">
        <w:rPr>
          <w:rFonts w:ascii="Arial" w:hAnsi="Arial" w:cs="Arial"/>
          <w:b/>
          <w:bCs/>
        </w:rPr>
        <w:t>PENERIMA BANTUAN HUKUM</w:t>
      </w:r>
      <w:r w:rsidR="00773EFC">
        <w:rPr>
          <w:rFonts w:ascii="Arial" w:hAnsi="Arial" w:cs="Arial"/>
          <w:b/>
          <w:bCs/>
        </w:rPr>
        <w:t>”</w:t>
      </w:r>
    </w:p>
    <w:p w14:paraId="1E173516" w14:textId="4BA7B1C4" w:rsidR="0051352E" w:rsidRDefault="007E7471" w:rsidP="0051352E">
      <w:pPr>
        <w:spacing w:after="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</w:t>
      </w:r>
      <w:r w:rsidR="0051352E">
        <w:rPr>
          <w:rFonts w:ascii="Arial" w:hAnsi="Arial" w:cs="Arial"/>
          <w:b/>
          <w:bCs/>
        </w:rPr>
        <w:t>UNDANG-UNDANG NOMOR 16 TAHUN 2011 TENTANG BANTUAN HUKUM</w:t>
      </w:r>
      <w:r>
        <w:rPr>
          <w:rFonts w:ascii="Arial" w:hAnsi="Arial" w:cs="Arial"/>
          <w:b/>
          <w:bCs/>
        </w:rPr>
        <w:t>)</w:t>
      </w:r>
    </w:p>
    <w:p w14:paraId="5555910A" w14:textId="77777777" w:rsidR="0051352E" w:rsidRPr="00A4215A" w:rsidRDefault="0051352E" w:rsidP="0051352E">
      <w:pPr>
        <w:spacing w:after="0" w:line="360" w:lineRule="auto"/>
        <w:rPr>
          <w:rFonts w:ascii="Arial" w:hAnsi="Arial" w:cs="Arial"/>
          <w:b/>
          <w:bCs/>
        </w:rPr>
      </w:pPr>
    </w:p>
    <w:p w14:paraId="2B9FFF92" w14:textId="6846EC22" w:rsidR="00157BAF" w:rsidRPr="00B94CF2" w:rsidRDefault="00157BAF" w:rsidP="00B94CF2">
      <w:pPr>
        <w:spacing w:after="0" w:line="360" w:lineRule="auto"/>
        <w:ind w:firstLine="720"/>
        <w:jc w:val="both"/>
        <w:rPr>
          <w:rFonts w:ascii="Arial" w:hAnsi="Arial" w:cs="Arial"/>
        </w:rPr>
      </w:pPr>
      <w:r w:rsidRPr="00B94CF2">
        <w:rPr>
          <w:rFonts w:ascii="Arial" w:hAnsi="Arial" w:cs="Arial"/>
        </w:rPr>
        <w:t>Politik hukum pembentukan undang-undang Bantuan Hukum pada dasarnya</w:t>
      </w:r>
      <w:r w:rsidR="00B94CF2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merupakan bentuk affirmative action dari pemerintah untuk dapat memberikan</w:t>
      </w:r>
      <w:r w:rsidR="00B94CF2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layanan atas akses ke keadilan (</w:t>
      </w:r>
      <w:r w:rsidRPr="00B94CF2">
        <w:rPr>
          <w:rFonts w:ascii="Arial" w:hAnsi="Arial" w:cs="Arial"/>
          <w:i/>
          <w:iCs/>
        </w:rPr>
        <w:t>access to justice</w:t>
      </w:r>
      <w:r w:rsidRPr="00B94CF2">
        <w:rPr>
          <w:rFonts w:ascii="Arial" w:hAnsi="Arial" w:cs="Arial"/>
        </w:rPr>
        <w:t>) yang lebih luas pada seluruh</w:t>
      </w:r>
      <w:r w:rsidR="00B94CF2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laporan masyarakat. Sebagaimana diamanatkan dalam Undang-undang Dasar</w:t>
      </w:r>
      <w:r w:rsidR="00B94CF2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1945, maka akses kepada keadilan adalah prinsip dasar dari negara hukum.</w:t>
      </w:r>
      <w:r w:rsidR="00B94CF2">
        <w:rPr>
          <w:rFonts w:ascii="Arial" w:hAnsi="Arial" w:cs="Arial"/>
        </w:rPr>
        <w:t xml:space="preserve"> </w:t>
      </w:r>
    </w:p>
    <w:p w14:paraId="0EE2C567" w14:textId="74535F06" w:rsidR="00157BAF" w:rsidRPr="00B94CF2" w:rsidRDefault="00157BAF" w:rsidP="00B94CF2">
      <w:pPr>
        <w:spacing w:after="0" w:line="360" w:lineRule="auto"/>
        <w:ind w:firstLine="720"/>
        <w:jc w:val="both"/>
        <w:rPr>
          <w:rFonts w:ascii="Arial" w:hAnsi="Arial" w:cs="Arial"/>
        </w:rPr>
      </w:pPr>
      <w:r w:rsidRPr="00B94CF2">
        <w:rPr>
          <w:rFonts w:ascii="Arial" w:hAnsi="Arial" w:cs="Arial"/>
        </w:rPr>
        <w:t>Dengan tidak adanya akses terhadap keadilan, maka dikhawatirkan warga</w:t>
      </w:r>
      <w:r w:rsidR="00B94CF2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masyarakat baik orang perorangan maupun kelompok tidak dapat</w:t>
      </w:r>
      <w:r w:rsidR="00B94CF2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memperdengarkan suaranya, menggunakan haknya, dalam menentang</w:t>
      </w:r>
      <w:r w:rsidR="00B94CF2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kesewenang-wenangan, diskriminasi atau meminta pertanggungjawaban</w:t>
      </w:r>
      <w:r w:rsidR="00B94CF2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pembuat keputusan. Norma ini selaras dengan UN Principles and Guidelines on</w:t>
      </w:r>
      <w:r w:rsidR="00B94CF2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Access to Legal Aid in Criminal Justice Systems 2012 dimana:</w:t>
      </w:r>
    </w:p>
    <w:p w14:paraId="5BA58C93" w14:textId="51ADE1D4" w:rsidR="00157BAF" w:rsidRPr="00B94CF2" w:rsidRDefault="00157BAF" w:rsidP="00B94CF2">
      <w:pPr>
        <w:spacing w:after="0" w:line="360" w:lineRule="auto"/>
        <w:ind w:left="709"/>
        <w:jc w:val="both"/>
        <w:rPr>
          <w:rFonts w:ascii="Arial" w:hAnsi="Arial" w:cs="Arial"/>
          <w:i/>
          <w:iCs/>
        </w:rPr>
      </w:pPr>
      <w:r w:rsidRPr="00B94CF2">
        <w:rPr>
          <w:rFonts w:ascii="Arial" w:hAnsi="Arial" w:cs="Arial"/>
          <w:i/>
          <w:iCs/>
        </w:rPr>
        <w:t>Delivery of justice should be impartial and non-discriminatory. The</w:t>
      </w:r>
      <w:r w:rsidR="00B94CF2" w:rsidRPr="00B94CF2">
        <w:rPr>
          <w:rFonts w:ascii="Arial" w:hAnsi="Arial" w:cs="Arial"/>
          <w:i/>
          <w:iCs/>
        </w:rPr>
        <w:t xml:space="preserve"> </w:t>
      </w:r>
      <w:r w:rsidRPr="00B94CF2">
        <w:rPr>
          <w:rFonts w:ascii="Arial" w:hAnsi="Arial" w:cs="Arial"/>
          <w:i/>
          <w:iCs/>
        </w:rPr>
        <w:t>independence of the judicial system, together with its impartiality</w:t>
      </w:r>
      <w:r w:rsidR="00B94CF2" w:rsidRPr="00B94CF2">
        <w:rPr>
          <w:rFonts w:ascii="Arial" w:hAnsi="Arial" w:cs="Arial"/>
          <w:i/>
          <w:iCs/>
        </w:rPr>
        <w:t xml:space="preserve"> </w:t>
      </w:r>
      <w:r w:rsidRPr="00B94CF2">
        <w:rPr>
          <w:rFonts w:ascii="Arial" w:hAnsi="Arial" w:cs="Arial"/>
          <w:i/>
          <w:iCs/>
        </w:rPr>
        <w:t>and integrity, as an essential prerequisite for upholding the rule of</w:t>
      </w:r>
      <w:r w:rsidR="00B94CF2" w:rsidRPr="00B94CF2">
        <w:rPr>
          <w:rFonts w:ascii="Arial" w:hAnsi="Arial" w:cs="Arial"/>
          <w:i/>
          <w:iCs/>
        </w:rPr>
        <w:t xml:space="preserve"> </w:t>
      </w:r>
      <w:r w:rsidRPr="00B94CF2">
        <w:rPr>
          <w:rFonts w:ascii="Arial" w:hAnsi="Arial" w:cs="Arial"/>
          <w:i/>
          <w:iCs/>
        </w:rPr>
        <w:t>law and ensuring that there is no discrimination in the</w:t>
      </w:r>
      <w:r w:rsidR="00B94CF2" w:rsidRPr="00B94CF2">
        <w:rPr>
          <w:rFonts w:ascii="Arial" w:hAnsi="Arial" w:cs="Arial"/>
          <w:i/>
          <w:iCs/>
        </w:rPr>
        <w:t xml:space="preserve"> </w:t>
      </w:r>
      <w:r w:rsidRPr="00B94CF2">
        <w:rPr>
          <w:rFonts w:ascii="Arial" w:hAnsi="Arial" w:cs="Arial"/>
          <w:i/>
          <w:iCs/>
        </w:rPr>
        <w:t xml:space="preserve">administration of justice. </w:t>
      </w:r>
      <w:r w:rsidRPr="00B94CF2">
        <w:rPr>
          <w:rStyle w:val="ReferensiCatatanKaki"/>
          <w:rFonts w:ascii="Arial" w:hAnsi="Arial" w:cs="Arial"/>
          <w:i/>
          <w:iCs/>
        </w:rPr>
        <w:footnoteReference w:id="1"/>
      </w:r>
      <w:r w:rsidRPr="00B94CF2">
        <w:rPr>
          <w:rFonts w:ascii="Arial" w:hAnsi="Arial" w:cs="Arial"/>
          <w:i/>
          <w:iCs/>
        </w:rPr>
        <w:t xml:space="preserve"> </w:t>
      </w:r>
    </w:p>
    <w:p w14:paraId="790EBBBD" w14:textId="77777777" w:rsidR="00157BAF" w:rsidRPr="00B94CF2" w:rsidRDefault="00157BAF" w:rsidP="00B94CF2">
      <w:pPr>
        <w:spacing w:after="0" w:line="360" w:lineRule="auto"/>
        <w:jc w:val="both"/>
        <w:rPr>
          <w:rFonts w:ascii="Arial" w:hAnsi="Arial" w:cs="Arial"/>
        </w:rPr>
      </w:pPr>
    </w:p>
    <w:p w14:paraId="7FBA15AD" w14:textId="4B0F6387" w:rsidR="00157BAF" w:rsidRPr="00B94CF2" w:rsidRDefault="00157BAF" w:rsidP="00B94CF2">
      <w:pPr>
        <w:spacing w:after="0" w:line="360" w:lineRule="auto"/>
        <w:jc w:val="both"/>
        <w:rPr>
          <w:rFonts w:ascii="Arial" w:hAnsi="Arial" w:cs="Arial"/>
        </w:rPr>
      </w:pPr>
      <w:r w:rsidRPr="00B94CF2">
        <w:rPr>
          <w:rFonts w:ascii="Arial" w:hAnsi="Arial" w:cs="Arial"/>
        </w:rPr>
        <w:t>Konsep pengaturan dan gagasan bantuan hukum sebelum adanya Undang-Undang Nomor 16 Tahun 2011 tentang Bantuan Hukum telah diatur dalam</w:t>
      </w:r>
      <w:r w:rsidR="00B94CF2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beberapa peraturan, namun dirasa masih belum dapat menjamin tujuan</w:t>
      </w:r>
      <w:r w:rsidR="00B94CF2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sebagaimana disebutkan diatas, yaitu:</w:t>
      </w:r>
    </w:p>
    <w:p w14:paraId="04DABA40" w14:textId="77777777" w:rsidR="00884A66" w:rsidRDefault="00157BAF" w:rsidP="00B94CF2">
      <w:pPr>
        <w:pStyle w:val="DaftarParagraf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884A66">
        <w:rPr>
          <w:rFonts w:ascii="Arial" w:hAnsi="Arial" w:cs="Arial"/>
        </w:rPr>
        <w:t>Undang-Undang Dasar Republik Indonesia Tahun 1945</w:t>
      </w:r>
      <w:r w:rsidR="00B94CF2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Dalam ketentuan Pasal 28 D ayat (1) dinyatakan bahwa setiap orang</w:t>
      </w:r>
      <w:r w:rsidR="00B94CF2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dijamin atas akses terhadap keadilan sehingga mendapatkan pengakuan.</w:t>
      </w:r>
      <w:r w:rsidR="00B94CF2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Jaminan, perlindungan dan kepastian hukum yang ad</w:t>
      </w:r>
      <w:r w:rsidR="00B94CF2" w:rsidRPr="00884A66">
        <w:rPr>
          <w:rFonts w:ascii="Arial" w:hAnsi="Arial" w:cs="Arial"/>
        </w:rPr>
        <w:t xml:space="preserve">il </w:t>
      </w:r>
      <w:r w:rsidRPr="00884A66">
        <w:rPr>
          <w:rFonts w:ascii="Arial" w:hAnsi="Arial" w:cs="Arial"/>
        </w:rPr>
        <w:t>terhadap hak</w:t>
      </w:r>
      <w:r w:rsidR="00B94CF2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mereka. Dalam Pasal 28 H ayat (2) disebutkan bahwa setiap orang berhak</w:t>
      </w:r>
      <w:r w:rsidR="00B94CF2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mendapatkan kemudahan dan perlakuan khusus untuk memperoleh</w:t>
      </w:r>
      <w:r w:rsidR="00B94CF2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kesempatan dan manfaat yang sama guna mencapai persamaan dan</w:t>
      </w:r>
      <w:r w:rsidR="00B94CF2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keadilan. Kemudian dalam Pasal 28 I ayat (4) dan (5) dinyatakan bahwa</w:t>
      </w:r>
      <w:r w:rsidR="00B94CF2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negara merupakan penanggungjawab serta penjamin atas terlaksananya</w:t>
      </w:r>
      <w:r w:rsidR="00B94CF2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hak setiap orang atas kemudahan serta perlakuan khusus terhadap</w:t>
      </w:r>
      <w:r w:rsidR="00884A66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kemudahan akses untuk memperoleh keadilan;</w:t>
      </w:r>
    </w:p>
    <w:p w14:paraId="55490A1B" w14:textId="77777777" w:rsidR="00884A66" w:rsidRDefault="00B94CF2" w:rsidP="00B94CF2">
      <w:pPr>
        <w:pStyle w:val="DaftarParagraf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noProof/>
        </w:rPr>
      </w:pPr>
      <w:r w:rsidRPr="00884A66">
        <w:rPr>
          <w:rFonts w:ascii="Arial" w:hAnsi="Arial" w:cs="Arial"/>
          <w:noProof/>
        </w:rPr>
        <w:t>Undang-Undang Nomor 39 Tahun 1999 tentang Hak Asasi Manusia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Dalam Pasal 5 Undang-Undang Nomor 39 Tahun 1999 tentang Hak Asasi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Manusia juga memuat ketentuan yang menegaskan bantuan hukum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sebagai bagian dari hak asasi manusia. Pasal 5 Undang-Undang Nomor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39 Tahun 1999 menegaskan tiga poin mengenai pengakuan terhadap hak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atas keadilan dalam konteks pemberian bantuan hukum, terdiri dari: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(1) Setiap orang diakui sebagai manusia pribadi yang berhak menuntut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dan memperoleh perlakuan serta perlindungan yang sama sesuai dengan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martabat kemanusiaannya di depan hukum. (2) Setiap orang berhak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mendapat bantuan dan perlindungan yang adil dari pengadilan yang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obyektif dan tidak berpihak. (3) Setiap orang yang termasuk kelompok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masyarakat yang rentan berhak memperoleh perlakuan dan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perlindungan lebih berkenaan dengan kekhususannya.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Pasal 18 memberikan penjelsan bahwa bantuan huum dibutuhkan dalam</w:t>
      </w:r>
      <w:r w:rsidR="00884A66" w:rsidRPr="00884A66">
        <w:rPr>
          <w:rFonts w:ascii="Arial" w:hAnsi="Arial" w:cs="Arial"/>
          <w:noProof/>
        </w:rPr>
        <w:t xml:space="preserve"> </w:t>
      </w:r>
      <w:r w:rsidRPr="00884A66">
        <w:rPr>
          <w:rFonts w:ascii="Arial" w:hAnsi="Arial" w:cs="Arial"/>
          <w:noProof/>
        </w:rPr>
        <w:t>setiap tahap acara pidana;</w:t>
      </w:r>
      <w:r w:rsidRPr="00B94CF2">
        <w:rPr>
          <w:rStyle w:val="ReferensiCatatanKaki"/>
          <w:rFonts w:ascii="Arial" w:hAnsi="Arial" w:cs="Arial"/>
          <w:noProof/>
        </w:rPr>
        <w:footnoteReference w:id="2"/>
      </w:r>
    </w:p>
    <w:p w14:paraId="688C4272" w14:textId="77777777" w:rsidR="00884A66" w:rsidRDefault="00B94CF2" w:rsidP="00B94CF2">
      <w:pPr>
        <w:pStyle w:val="DaftarParagraf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noProof/>
        </w:rPr>
      </w:pPr>
      <w:r w:rsidRPr="00884A66">
        <w:rPr>
          <w:rFonts w:ascii="Arial" w:hAnsi="Arial" w:cs="Arial"/>
        </w:rPr>
        <w:t>Undang-Undang No. 23 Tahun 2004 tentang Penghapusan KDRT</w:t>
      </w:r>
      <w:r w:rsidR="00884A66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Pasal 10 huruf d “Korban berhak mendapatkan pendampingan oleh</w:t>
      </w:r>
      <w:r w:rsidR="00884A66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pekerja sosial dan bantuan hukum pada setiap tingkat proses</w:t>
      </w:r>
      <w:r w:rsidR="00884A66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pemeriksaan sesuai dengan ketentuan peraturan perundang-undangan</w:t>
      </w:r>
      <w:r w:rsidR="00884A66">
        <w:rPr>
          <w:rFonts w:ascii="Arial" w:hAnsi="Arial" w:cs="Arial"/>
        </w:rPr>
        <w:t>.”</w:t>
      </w:r>
    </w:p>
    <w:p w14:paraId="56469BA9" w14:textId="77777777" w:rsidR="00884A66" w:rsidRDefault="00B94CF2" w:rsidP="00B94CF2">
      <w:pPr>
        <w:pStyle w:val="DaftarParagraf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884A66">
        <w:rPr>
          <w:rFonts w:ascii="Arial" w:hAnsi="Arial" w:cs="Arial"/>
        </w:rPr>
        <w:t>Undang-Undang No. 21 Tahun 2007 tentang Pemberantasan Tindak</w:t>
      </w:r>
      <w:r w:rsidR="00884A66" w:rsidRPr="00884A66">
        <w:rPr>
          <w:rFonts w:ascii="Arial" w:hAnsi="Arial" w:cs="Arial"/>
        </w:rPr>
        <w:t xml:space="preserve"> P</w:t>
      </w:r>
      <w:r w:rsidRPr="00884A66">
        <w:rPr>
          <w:rFonts w:ascii="Arial" w:hAnsi="Arial" w:cs="Arial"/>
        </w:rPr>
        <w:t>idana Perdagangan Orang</w:t>
      </w:r>
      <w:r w:rsidR="00884A66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Dalam Pasal 35 menyatakan bahwa “selama proses penyidikan,</w:t>
      </w:r>
      <w:r w:rsidR="00884A66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penuntutan, dan pemeriksaan di sidang pengadilan, saksi dan/atau</w:t>
      </w:r>
      <w:r w:rsidR="00884A66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korban berhak didampingi oleh advokat dan/atau pendamping lainnya</w:t>
      </w:r>
      <w:r w:rsidR="00884A66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yang dibutuhkan”;</w:t>
      </w:r>
    </w:p>
    <w:p w14:paraId="7A331DFA" w14:textId="7BF46DDE" w:rsidR="00B94CF2" w:rsidRDefault="00B94CF2" w:rsidP="005C27B5">
      <w:pPr>
        <w:pStyle w:val="DaftarParagraf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884A66">
        <w:rPr>
          <w:rFonts w:ascii="Arial" w:hAnsi="Arial" w:cs="Arial"/>
        </w:rPr>
        <w:t>Undang-Undang No. 13 Tahun 1998 tentang Kesejahteraan Lanjut Usia</w:t>
      </w:r>
      <w:r w:rsidR="00884A66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Pasal 5 ayat (2) huruf f menyatakan bahwa “Sebagai penghormatan dan</w:t>
      </w:r>
      <w:r w:rsidR="00884A66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penghargaan kepada lanjut usia diberikan hak untuk meningkatkan</w:t>
      </w:r>
      <w:r w:rsidR="00884A66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kesejahteraan sosial yang meliputi kemudahan dalam layanan dan</w:t>
      </w:r>
      <w:r w:rsidR="00884A66" w:rsidRPr="00884A66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bantuan hukum”;</w:t>
      </w:r>
    </w:p>
    <w:p w14:paraId="6B27D635" w14:textId="77777777" w:rsidR="00884A66" w:rsidRPr="00884A66" w:rsidRDefault="00884A66" w:rsidP="00884A66">
      <w:pPr>
        <w:pStyle w:val="DaftarParagraf"/>
        <w:spacing w:after="0" w:line="360" w:lineRule="auto"/>
        <w:ind w:left="284"/>
        <w:jc w:val="both"/>
        <w:rPr>
          <w:rFonts w:ascii="Arial" w:hAnsi="Arial" w:cs="Arial"/>
        </w:rPr>
      </w:pPr>
    </w:p>
    <w:p w14:paraId="4D0BD921" w14:textId="77777777" w:rsidR="00884A66" w:rsidRDefault="00B94CF2" w:rsidP="00884A66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B94CF2">
        <w:rPr>
          <w:rFonts w:ascii="Arial" w:hAnsi="Arial" w:cs="Arial"/>
        </w:rPr>
        <w:t>Undang-Undang Nomor 16 Tahun 2011 tentang Bantuan Hukum jelas</w:t>
      </w:r>
      <w:r w:rsidR="00884A66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memuat afirmasi sebagaimana ditunjukkan dalam Pasal 5: penerima bantuan</w:t>
      </w:r>
      <w:r w:rsidR="00884A66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hukum merupakan orang atau kelompok yang tidak bisa memenuhi hak pangan,</w:t>
      </w:r>
      <w:r w:rsidR="00884A66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sandang, papan, layanan kesehatan, layanan pendidikan, pekerjaan, serta tidak</w:t>
      </w:r>
      <w:r w:rsidR="00884A66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dapat melakukan suatu kegiatan usaha. Kemudian, dalam Pasal 12 disebutkan</w:t>
      </w:r>
      <w:r w:rsidR="00884A66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hak penerima bantuan hukum berupa bantuan hingga permasalahan hukum</w:t>
      </w:r>
      <w:r w:rsidR="00884A66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selesai atau berkekuatan hukum tetap serta mendapatkan informasi dan</w:t>
      </w:r>
      <w:r w:rsidR="00884A66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dokumen yang berkaitan dengan permasalahan hukumnya. Dalam bab</w:t>
      </w:r>
      <w:r w:rsidR="00884A66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Penjelasan Undang-Undang tentang Bantuan Hukum dinyatakan pula bahwa</w:t>
      </w:r>
      <w:r w:rsidR="00884A66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pemberian bantuan hukum belum mencakup banyak kelompok renta sehingga</w:t>
      </w:r>
      <w:r w:rsidR="00884A66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kesulitan untuk mengakses keadilan karena faktor ekonomi menjadi</w:t>
      </w:r>
      <w:r w:rsidR="00884A66">
        <w:rPr>
          <w:rFonts w:ascii="Arial" w:hAnsi="Arial" w:cs="Arial"/>
        </w:rPr>
        <w:t xml:space="preserve"> </w:t>
      </w:r>
      <w:r w:rsidRPr="00B94CF2">
        <w:rPr>
          <w:rFonts w:ascii="Arial" w:hAnsi="Arial" w:cs="Arial"/>
        </w:rPr>
        <w:t>penghambat untuk mewujudkan hak-hak konstitusional mereka.</w:t>
      </w:r>
    </w:p>
    <w:p w14:paraId="136B0BE6" w14:textId="5D971547" w:rsidR="00884A66" w:rsidRPr="00884A66" w:rsidRDefault="00884A66" w:rsidP="00884A66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884A66">
        <w:rPr>
          <w:rFonts w:ascii="Arial" w:hAnsi="Arial" w:cs="Arial"/>
        </w:rPr>
        <w:t>Sesudah disahkannya UU Bantuan Hukum, muncul pula berbagai ketentuan</w:t>
      </w:r>
      <w:r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yang memberikan kewajiban kepada negara untuk memberikan bantuan hukum</w:t>
      </w:r>
      <w:r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khususnya kepada masyarakat tertentu.</w:t>
      </w:r>
    </w:p>
    <w:p w14:paraId="3562A72F" w14:textId="77777777" w:rsidR="006425C0" w:rsidRDefault="00884A66" w:rsidP="006425C0">
      <w:pPr>
        <w:pStyle w:val="DaftarParagraf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884A66">
        <w:rPr>
          <w:rFonts w:ascii="Arial" w:hAnsi="Arial" w:cs="Arial"/>
        </w:rPr>
        <w:t>Undang-Undang No. 18 Tahun 2017 tentang Perlindungan Pekerja Migran</w:t>
      </w:r>
    </w:p>
    <w:p w14:paraId="1EA6F4D8" w14:textId="77777777" w:rsidR="006425C0" w:rsidRDefault="00884A66" w:rsidP="006425C0">
      <w:pPr>
        <w:pStyle w:val="DaftarParagraf"/>
        <w:spacing w:after="0" w:line="360" w:lineRule="auto"/>
        <w:ind w:left="284"/>
        <w:jc w:val="both"/>
        <w:rPr>
          <w:rFonts w:ascii="Arial" w:hAnsi="Arial" w:cs="Arial"/>
        </w:rPr>
      </w:pPr>
      <w:r w:rsidRPr="006425C0">
        <w:rPr>
          <w:rFonts w:ascii="Arial" w:hAnsi="Arial" w:cs="Arial"/>
        </w:rPr>
        <w:t>Pasal 6 (1) huruf g menyatakan bahwa “setiap Calon Pekerja Migran</w:t>
      </w:r>
      <w:r w:rsidR="006425C0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Indonesia atau Pekerja Migran Indonesia memiliki hak: memperoleh</w:t>
      </w:r>
      <w:r w:rsidR="006425C0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pelindungan dan bantuan hukum atas tindakan yang dapat</w:t>
      </w:r>
      <w:r w:rsidR="006425C0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merendahkan harkat dan martabat sesuai dengan ketentuan peraturan</w:t>
      </w:r>
      <w:r w:rsidR="006425C0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perundang-undangan di Indonesia dan di negara tujuan penempatan.</w:t>
      </w:r>
    </w:p>
    <w:p w14:paraId="060EEB52" w14:textId="05B72014" w:rsidR="00884A66" w:rsidRPr="00884A66" w:rsidRDefault="00884A66" w:rsidP="006425C0">
      <w:pPr>
        <w:pStyle w:val="DaftarParagraf"/>
        <w:spacing w:after="0" w:line="360" w:lineRule="auto"/>
        <w:ind w:left="284"/>
        <w:jc w:val="both"/>
        <w:rPr>
          <w:rFonts w:ascii="Arial" w:hAnsi="Arial" w:cs="Arial"/>
        </w:rPr>
      </w:pPr>
      <w:r w:rsidRPr="00884A66">
        <w:rPr>
          <w:rFonts w:ascii="Arial" w:hAnsi="Arial" w:cs="Arial"/>
        </w:rPr>
        <w:t>Pasal 21 (1) huruf f “Perlindungan selama bekerja meliputi</w:t>
      </w:r>
      <w:r w:rsidR="006425C0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pendampingan, mediasi, advokasi, dan pemberian bantuan hukum</w:t>
      </w:r>
      <w:r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berupa fasilitasi jasa advokat oleh Pemerintah Pusat dan/atau</w:t>
      </w:r>
      <w:r w:rsidR="006425C0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Perwakilan Republik Indonesia serta perwalian”.</w:t>
      </w:r>
    </w:p>
    <w:p w14:paraId="4F567E83" w14:textId="77777777" w:rsidR="006425C0" w:rsidRDefault="00884A66" w:rsidP="006425C0">
      <w:pPr>
        <w:pStyle w:val="DaftarParagraf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425C0">
        <w:rPr>
          <w:rFonts w:ascii="Arial" w:hAnsi="Arial" w:cs="Arial"/>
        </w:rPr>
        <w:t>Undang-Undang 35 Tahun 2015 tentang Perubahan atas Undang-Undang No. 23 Tahun 2003 tentang Perlindungan Anak</w:t>
      </w:r>
    </w:p>
    <w:p w14:paraId="22279592" w14:textId="77777777" w:rsidR="006425C0" w:rsidRDefault="00884A66" w:rsidP="006425C0">
      <w:pPr>
        <w:pStyle w:val="DaftarParagraf"/>
        <w:spacing w:after="0" w:line="360" w:lineRule="auto"/>
        <w:ind w:left="284"/>
        <w:jc w:val="both"/>
        <w:rPr>
          <w:rFonts w:ascii="Arial" w:hAnsi="Arial" w:cs="Arial"/>
        </w:rPr>
      </w:pPr>
      <w:r w:rsidRPr="006425C0">
        <w:rPr>
          <w:rFonts w:ascii="Arial" w:hAnsi="Arial" w:cs="Arial"/>
        </w:rPr>
        <w:t>Dalam Pasal 64 menyatakan bahwa Perlindungan Khusus bagi Anak yang</w:t>
      </w:r>
      <w:r w:rsidR="006425C0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berhadapan dengan hukum dilakukan melalui pemberian bantuan</w:t>
      </w:r>
      <w:r w:rsidR="006425C0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hukum dan bantuan lain secara efektif;</w:t>
      </w:r>
    </w:p>
    <w:p w14:paraId="7659F099" w14:textId="77777777" w:rsidR="006425C0" w:rsidRDefault="00884A66" w:rsidP="006425C0">
      <w:pPr>
        <w:pStyle w:val="DaftarParagraf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425C0">
        <w:rPr>
          <w:rFonts w:ascii="Arial" w:hAnsi="Arial" w:cs="Arial"/>
        </w:rPr>
        <w:t>Undang-Undang No. 8 Tahun 2016 tentang Penyandang Disabilitas</w:t>
      </w:r>
    </w:p>
    <w:p w14:paraId="3260E701" w14:textId="006679C3" w:rsidR="00884A66" w:rsidRPr="006425C0" w:rsidRDefault="00884A66" w:rsidP="006425C0">
      <w:pPr>
        <w:pStyle w:val="DaftarParagraf"/>
        <w:spacing w:after="0" w:line="360" w:lineRule="auto"/>
        <w:ind w:left="284"/>
        <w:jc w:val="both"/>
        <w:rPr>
          <w:rFonts w:ascii="Arial" w:hAnsi="Arial" w:cs="Arial"/>
        </w:rPr>
      </w:pPr>
      <w:r w:rsidRPr="006425C0">
        <w:rPr>
          <w:rFonts w:ascii="Arial" w:hAnsi="Arial" w:cs="Arial"/>
        </w:rPr>
        <w:t>Pasal 29 “Pemerintah dan Pemerintah Daerah wajib menyediakan</w:t>
      </w:r>
      <w:r w:rsidR="006425C0" w:rsidRPr="006425C0">
        <w:rPr>
          <w:rFonts w:ascii="Arial" w:hAnsi="Arial" w:cs="Arial"/>
        </w:rPr>
        <w:t xml:space="preserve"> </w:t>
      </w:r>
      <w:r w:rsidRPr="006425C0">
        <w:rPr>
          <w:rFonts w:ascii="Arial" w:hAnsi="Arial" w:cs="Arial"/>
        </w:rPr>
        <w:t>bantuan hukum kepada Penyandang Disabilitas dalam setiap</w:t>
      </w:r>
      <w:r w:rsidR="006425C0" w:rsidRPr="006425C0">
        <w:rPr>
          <w:rFonts w:ascii="Arial" w:hAnsi="Arial" w:cs="Arial"/>
        </w:rPr>
        <w:t xml:space="preserve"> </w:t>
      </w:r>
      <w:r w:rsidRPr="006425C0">
        <w:rPr>
          <w:rFonts w:ascii="Arial" w:hAnsi="Arial" w:cs="Arial"/>
        </w:rPr>
        <w:t>pemeriksaan pada setiap lembaga penegak hukum dalam hal</w:t>
      </w:r>
      <w:r w:rsidR="006425C0" w:rsidRPr="006425C0">
        <w:rPr>
          <w:rFonts w:ascii="Arial" w:hAnsi="Arial" w:cs="Arial"/>
        </w:rPr>
        <w:t xml:space="preserve"> </w:t>
      </w:r>
      <w:r w:rsidRPr="006425C0">
        <w:rPr>
          <w:rFonts w:ascii="Arial" w:hAnsi="Arial" w:cs="Arial"/>
        </w:rPr>
        <w:t>keperdataan dan/atau pidana sesuai dengan ketentuan peraturan</w:t>
      </w:r>
      <w:r w:rsidR="006425C0">
        <w:rPr>
          <w:rFonts w:ascii="Arial" w:hAnsi="Arial" w:cs="Arial"/>
        </w:rPr>
        <w:t xml:space="preserve"> </w:t>
      </w:r>
      <w:r w:rsidRPr="006425C0">
        <w:rPr>
          <w:rFonts w:ascii="Arial" w:hAnsi="Arial" w:cs="Arial"/>
        </w:rPr>
        <w:t>perundang-undangan”;</w:t>
      </w:r>
    </w:p>
    <w:p w14:paraId="0EB1169F" w14:textId="77777777" w:rsidR="006425C0" w:rsidRDefault="00884A66" w:rsidP="006425C0">
      <w:pPr>
        <w:pStyle w:val="DaftarParagraf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6425C0">
        <w:rPr>
          <w:rFonts w:ascii="Arial" w:hAnsi="Arial" w:cs="Arial"/>
        </w:rPr>
        <w:t>Peraturan Mahkamah Agung No. 1 Tahun 2014 tentang Pedoman</w:t>
      </w:r>
      <w:r w:rsidR="006425C0" w:rsidRPr="006425C0">
        <w:rPr>
          <w:rFonts w:ascii="Arial" w:hAnsi="Arial" w:cs="Arial"/>
        </w:rPr>
        <w:t xml:space="preserve"> </w:t>
      </w:r>
      <w:r w:rsidRPr="006425C0">
        <w:rPr>
          <w:rFonts w:ascii="Arial" w:hAnsi="Arial" w:cs="Arial"/>
        </w:rPr>
        <w:t>Pemberian Bantuan Hukum Bagi Masyarakat tidak Mampu di Pengadilan</w:t>
      </w:r>
      <w:r w:rsidR="006425C0" w:rsidRPr="006425C0">
        <w:rPr>
          <w:rFonts w:ascii="Arial" w:hAnsi="Arial" w:cs="Arial"/>
        </w:rPr>
        <w:t xml:space="preserve"> </w:t>
      </w:r>
      <w:r w:rsidRPr="006425C0">
        <w:rPr>
          <w:rFonts w:ascii="Arial" w:hAnsi="Arial" w:cs="Arial"/>
        </w:rPr>
        <w:t xml:space="preserve">Perma No. 1/2014 merupakan perubahan dari SEMA 10/2010. </w:t>
      </w:r>
    </w:p>
    <w:p w14:paraId="1B34236A" w14:textId="58154A77" w:rsidR="00884A66" w:rsidRPr="00884A66" w:rsidRDefault="00884A66" w:rsidP="006425C0">
      <w:pPr>
        <w:spacing w:after="0" w:line="360" w:lineRule="auto"/>
        <w:ind w:left="284"/>
        <w:jc w:val="both"/>
        <w:rPr>
          <w:rFonts w:ascii="Arial" w:hAnsi="Arial" w:cs="Arial"/>
        </w:rPr>
      </w:pPr>
      <w:r w:rsidRPr="006425C0">
        <w:rPr>
          <w:rFonts w:ascii="Arial" w:hAnsi="Arial" w:cs="Arial"/>
        </w:rPr>
        <w:t>Layanan</w:t>
      </w:r>
      <w:r w:rsidR="006425C0">
        <w:rPr>
          <w:rFonts w:ascii="Arial" w:hAnsi="Arial" w:cs="Arial"/>
        </w:rPr>
        <w:t xml:space="preserve"> </w:t>
      </w:r>
      <w:r w:rsidRPr="00884A66">
        <w:rPr>
          <w:rFonts w:ascii="Arial" w:hAnsi="Arial" w:cs="Arial"/>
        </w:rPr>
        <w:t>hukum bagi masyarakat tidak mampu cakupannya terdiri dari:</w:t>
      </w:r>
    </w:p>
    <w:p w14:paraId="3A3F68DC" w14:textId="352C3A32" w:rsidR="00884A66" w:rsidRPr="006425C0" w:rsidRDefault="00884A66" w:rsidP="006425C0">
      <w:pPr>
        <w:pStyle w:val="DaftarParagraf"/>
        <w:numPr>
          <w:ilvl w:val="1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425C0">
        <w:rPr>
          <w:rFonts w:ascii="Arial" w:hAnsi="Arial" w:cs="Arial"/>
        </w:rPr>
        <w:t>Layanan pembebasan biaya perkara</w:t>
      </w:r>
    </w:p>
    <w:p w14:paraId="2DA6811C" w14:textId="4C726B0C" w:rsidR="00884A66" w:rsidRPr="006425C0" w:rsidRDefault="00884A66" w:rsidP="006425C0">
      <w:pPr>
        <w:pStyle w:val="DaftarParagraf"/>
        <w:numPr>
          <w:ilvl w:val="1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425C0">
        <w:rPr>
          <w:rFonts w:ascii="Arial" w:hAnsi="Arial" w:cs="Arial"/>
        </w:rPr>
        <w:t>Penyelenggaraan sidang di luar gedung pengadilan, dan</w:t>
      </w:r>
    </w:p>
    <w:p w14:paraId="6C6838B5" w14:textId="05153428" w:rsidR="00B94CF2" w:rsidRDefault="00884A66" w:rsidP="006425C0">
      <w:pPr>
        <w:pStyle w:val="DaftarParagraf"/>
        <w:numPr>
          <w:ilvl w:val="1"/>
          <w:numId w:val="9"/>
        </w:numPr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6425C0">
        <w:rPr>
          <w:rFonts w:ascii="Arial" w:hAnsi="Arial" w:cs="Arial"/>
        </w:rPr>
        <w:t>Penyediaan posbakum pengadilan</w:t>
      </w:r>
      <w:r w:rsidR="0024015D">
        <w:rPr>
          <w:rFonts w:ascii="Arial" w:hAnsi="Arial" w:cs="Arial"/>
        </w:rPr>
        <w:t>.</w:t>
      </w:r>
    </w:p>
    <w:p w14:paraId="197EA78B" w14:textId="16785614" w:rsidR="0024015D" w:rsidRDefault="0024015D" w:rsidP="0024015D">
      <w:pPr>
        <w:spacing w:after="0" w:line="360" w:lineRule="auto"/>
        <w:jc w:val="both"/>
        <w:rPr>
          <w:rFonts w:ascii="Arial" w:hAnsi="Arial" w:cs="Arial"/>
        </w:rPr>
      </w:pPr>
    </w:p>
    <w:p w14:paraId="507FF3A7" w14:textId="08DB9F5E" w:rsidR="0024015D" w:rsidRPr="0024015D" w:rsidRDefault="0024015D" w:rsidP="0024015D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24015D">
        <w:rPr>
          <w:rFonts w:ascii="Arial" w:hAnsi="Arial" w:cs="Arial"/>
        </w:rPr>
        <w:t>Penerima Bantuan Hukum dalam UU Bankum memang ditujukan pada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masyarakat miskin dan kurang mampu yang parameternya adalah pada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kemampuan ekonomi. Hal ini merujuk pada Pasal 1 Angka 2 yang merumuskan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bahwa pihak yang disebut sebagai penerima bantuan hukum adalah orang atau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kelompok orang miskin. Ketentuan Pasal 5 Undang-Undang Nomor 16 Tahun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2011 hanya memberikan definisi singkat bagi kategori miskin sebagai pihak yang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tidak mampu untuk memenuhi hak-hak dasar berupa hak atas pangan, sandang,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layanan kesehatan, layanan pendidikan, pekerjaan dan berusaha, dan/atau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perumahan, tanpa uraian teknis yang memberikan petunjuk dan batasan secara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lebih rinci mengenai bagaimana pengukuran indikator pada Pasal 5 dilakukan.</w:t>
      </w:r>
    </w:p>
    <w:p w14:paraId="4018B237" w14:textId="77777777" w:rsidR="007E7471" w:rsidRDefault="0024015D" w:rsidP="007E7471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24015D">
        <w:rPr>
          <w:rFonts w:ascii="Arial" w:hAnsi="Arial" w:cs="Arial"/>
        </w:rPr>
        <w:t>Pelaksanaan dari ketentuan ini merujuk pada Pasal 14 Ayat (1) huruf c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Undang-Undang Nomor 16 Tahun 2011 dan Pasal 3 huruf c Peraturan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Pemerintah Republik Indonesia Nomor 42 Tahun 2013 yang memberikan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parameter miskin disandarkan pada bukti dari pernyataan miskin bagi pihak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penerima bantuan hukum adalah berupa surat keterangan miskin yang diberikan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oleh kelurahan/desa. Hal ini ditengarai akan berpotensi menimbulkan kerancuan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 xml:space="preserve">terkait penetapan definisi dari golongan miskin tersebut, belum jelasnya </w:t>
      </w:r>
      <w:r w:rsidR="007E7471">
        <w:rPr>
          <w:rFonts w:ascii="Arial" w:hAnsi="Arial" w:cs="Arial"/>
        </w:rPr>
        <w:t xml:space="preserve">Batasan </w:t>
      </w:r>
      <w:r w:rsidRPr="0024015D">
        <w:rPr>
          <w:rFonts w:ascii="Arial" w:hAnsi="Arial" w:cs="Arial"/>
        </w:rPr>
        <w:t>parameter kategori miskin yang ditetapkan dalam Undang-Undang Nomor 16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Tahun 2011 beserta peraturan turunannya serta pernyataan status miskin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yangm disahkan hanya melalui surat pernyataan miskin dari desa/kelurahan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berpotensi untuk menimbulkan kesulitan akomodasi bagi penerima bantuan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hukum yang berdomisili pada suatu wilayah, namun bukan merupakan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penduduk yang terdaftar pada wilayah tersebut.</w:t>
      </w:r>
      <w:r w:rsidR="007E7471">
        <w:rPr>
          <w:rFonts w:ascii="Arial" w:hAnsi="Arial" w:cs="Arial"/>
        </w:rPr>
        <w:t xml:space="preserve"> </w:t>
      </w:r>
    </w:p>
    <w:p w14:paraId="40EEB8DA" w14:textId="6D220895" w:rsidR="0024015D" w:rsidRPr="0024015D" w:rsidRDefault="0024015D" w:rsidP="007E7471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24015D">
        <w:rPr>
          <w:rFonts w:ascii="Arial" w:hAnsi="Arial" w:cs="Arial"/>
        </w:rPr>
        <w:t>Hasil analisis kajian memberikan kualifikasi miskin dalam beberapa</w:t>
      </w:r>
      <w:r w:rsidR="007E7471">
        <w:rPr>
          <w:rFonts w:ascii="Arial" w:hAnsi="Arial" w:cs="Arial"/>
        </w:rPr>
        <w:t xml:space="preserve"> </w:t>
      </w:r>
      <w:r w:rsidRPr="0024015D">
        <w:rPr>
          <w:rFonts w:ascii="Arial" w:hAnsi="Arial" w:cs="Arial"/>
        </w:rPr>
        <w:t>pengertian yaitu:</w:t>
      </w:r>
    </w:p>
    <w:p w14:paraId="24ECB87B" w14:textId="4AE36F4C" w:rsidR="0024015D" w:rsidRPr="007E7471" w:rsidRDefault="0024015D" w:rsidP="007E7471">
      <w:pPr>
        <w:pStyle w:val="DaftarParagraf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E7471">
        <w:rPr>
          <w:rFonts w:ascii="Arial" w:hAnsi="Arial" w:cs="Arial"/>
        </w:rPr>
        <w:t>Setiap Orang yang Berada dalam Proses Perkara;</w:t>
      </w:r>
    </w:p>
    <w:p w14:paraId="286E150F" w14:textId="291A668D" w:rsidR="0024015D" w:rsidRPr="007E7471" w:rsidRDefault="0024015D" w:rsidP="007E7471">
      <w:pPr>
        <w:pStyle w:val="DaftarParagraf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E7471">
        <w:rPr>
          <w:rFonts w:ascii="Arial" w:hAnsi="Arial" w:cs="Arial"/>
        </w:rPr>
        <w:t>Masyarakat Mampu; dan</w:t>
      </w:r>
    </w:p>
    <w:p w14:paraId="30A36094" w14:textId="634FD079" w:rsidR="00884A66" w:rsidRPr="007E7471" w:rsidRDefault="0024015D" w:rsidP="007E7471">
      <w:pPr>
        <w:pStyle w:val="DaftarParagraf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7E7471">
        <w:rPr>
          <w:rFonts w:ascii="Arial" w:hAnsi="Arial" w:cs="Arial"/>
        </w:rPr>
        <w:t>Masyarakat Kurang mampu.</w:t>
      </w:r>
    </w:p>
    <w:p w14:paraId="69017069" w14:textId="774258CA" w:rsidR="007E7471" w:rsidRDefault="007E7471" w:rsidP="0024015D">
      <w:pPr>
        <w:spacing w:after="0" w:line="360" w:lineRule="auto"/>
        <w:ind w:firstLine="567"/>
        <w:jc w:val="both"/>
        <w:rPr>
          <w:rFonts w:ascii="Arial" w:hAnsi="Arial" w:cs="Arial"/>
        </w:rPr>
      </w:pPr>
    </w:p>
    <w:p w14:paraId="475525C2" w14:textId="6F046BAC" w:rsidR="007E7471" w:rsidRDefault="007E7471" w:rsidP="007E7471">
      <w:pPr>
        <w:spacing w:after="0" w:line="360" w:lineRule="auto"/>
        <w:ind w:firstLine="567"/>
        <w:jc w:val="both"/>
        <w:rPr>
          <w:rFonts w:ascii="Arial" w:hAnsi="Arial" w:cs="Arial"/>
        </w:rPr>
      </w:pPr>
      <w:r w:rsidRPr="007E7471">
        <w:rPr>
          <w:rFonts w:ascii="Arial" w:hAnsi="Arial" w:cs="Arial"/>
        </w:rPr>
        <w:t>Definisi ini tentunya tidak hanya berdasarkan pemahaman makna atau</w:t>
      </w:r>
      <w:r>
        <w:rPr>
          <w:rFonts w:ascii="Arial" w:hAnsi="Arial" w:cs="Arial"/>
        </w:rPr>
        <w:t xml:space="preserve"> </w:t>
      </w:r>
      <w:r w:rsidRPr="007E7471">
        <w:rPr>
          <w:rFonts w:ascii="Arial" w:hAnsi="Arial" w:cs="Arial"/>
        </w:rPr>
        <w:t>gramatikal. Adapun definisi Masyarakat Kurang Mampu mencakup orang atau</w:t>
      </w:r>
      <w:r>
        <w:rPr>
          <w:rFonts w:ascii="Arial" w:hAnsi="Arial" w:cs="Arial"/>
        </w:rPr>
        <w:t xml:space="preserve"> </w:t>
      </w:r>
      <w:r w:rsidRPr="007E7471">
        <w:rPr>
          <w:rFonts w:ascii="Arial" w:hAnsi="Arial" w:cs="Arial"/>
        </w:rPr>
        <w:t>kelompok yang tidak bisa memenuhi hak pangan, sandang, papan, layanan</w:t>
      </w:r>
      <w:r>
        <w:rPr>
          <w:rFonts w:ascii="Arial" w:hAnsi="Arial" w:cs="Arial"/>
        </w:rPr>
        <w:t xml:space="preserve"> </w:t>
      </w:r>
      <w:r w:rsidRPr="007E7471">
        <w:rPr>
          <w:rFonts w:ascii="Arial" w:hAnsi="Arial" w:cs="Arial"/>
        </w:rPr>
        <w:t>kesehatan, layanan pendidikan, pekerjaan, serta tidak dapat melakukan suatu</w:t>
      </w:r>
      <w:r>
        <w:rPr>
          <w:rFonts w:ascii="Arial" w:hAnsi="Arial" w:cs="Arial"/>
        </w:rPr>
        <w:t xml:space="preserve"> </w:t>
      </w:r>
      <w:r w:rsidRPr="007E7471">
        <w:rPr>
          <w:rFonts w:ascii="Arial" w:hAnsi="Arial" w:cs="Arial"/>
        </w:rPr>
        <w:t>kegiatan usaha. Terkait dengan kriteria kurang mampu atau miskin, maka perlu</w:t>
      </w:r>
      <w:r>
        <w:rPr>
          <w:rFonts w:ascii="Arial" w:hAnsi="Arial" w:cs="Arial"/>
        </w:rPr>
        <w:t xml:space="preserve"> </w:t>
      </w:r>
      <w:r w:rsidRPr="007E7471">
        <w:rPr>
          <w:rFonts w:ascii="Arial" w:hAnsi="Arial" w:cs="Arial"/>
        </w:rPr>
        <w:t>kiranya suatu penjelasan terkait dengan hal ini. Merujuk kepada perkembangan</w:t>
      </w:r>
      <w:r>
        <w:rPr>
          <w:rFonts w:ascii="Arial" w:hAnsi="Arial" w:cs="Arial"/>
        </w:rPr>
        <w:t xml:space="preserve"> </w:t>
      </w:r>
      <w:r w:rsidRPr="007E7471">
        <w:rPr>
          <w:rFonts w:ascii="Arial" w:hAnsi="Arial" w:cs="Arial"/>
        </w:rPr>
        <w:t>beberapa undang-undang seperti Rancangan Undang-Undang tentang</w:t>
      </w:r>
      <w:r>
        <w:rPr>
          <w:rFonts w:ascii="Arial" w:hAnsi="Arial" w:cs="Arial"/>
        </w:rPr>
        <w:t xml:space="preserve"> </w:t>
      </w:r>
      <w:r w:rsidRPr="007E7471">
        <w:rPr>
          <w:rFonts w:ascii="Arial" w:hAnsi="Arial" w:cs="Arial"/>
        </w:rPr>
        <w:t>Masyarakat Adat, Undang-Undang tentang Kelompok Disabilitas dan Undang-Undang perlindungan Anak serta Undang-Undang tentang Penghapusan</w:t>
      </w:r>
      <w:r>
        <w:rPr>
          <w:rFonts w:ascii="Arial" w:hAnsi="Arial" w:cs="Arial"/>
        </w:rPr>
        <w:t xml:space="preserve"> </w:t>
      </w:r>
      <w:r w:rsidRPr="007E7471">
        <w:rPr>
          <w:rFonts w:ascii="Arial" w:hAnsi="Arial" w:cs="Arial"/>
        </w:rPr>
        <w:t>Kekerasan Dalam Rumah Tangga serta perkembangan atas perkara pidana yang</w:t>
      </w:r>
      <w:r>
        <w:rPr>
          <w:rFonts w:ascii="Arial" w:hAnsi="Arial" w:cs="Arial"/>
        </w:rPr>
        <w:t xml:space="preserve"> </w:t>
      </w:r>
      <w:r w:rsidRPr="007E7471">
        <w:rPr>
          <w:rFonts w:ascii="Arial" w:hAnsi="Arial" w:cs="Arial"/>
        </w:rPr>
        <w:t>ada, maka kelompok-kelompok ini (perempuan, anak atau masyarakat suku</w:t>
      </w:r>
      <w:r>
        <w:rPr>
          <w:rFonts w:ascii="Arial" w:hAnsi="Arial" w:cs="Arial"/>
        </w:rPr>
        <w:t xml:space="preserve"> </w:t>
      </w:r>
      <w:r w:rsidRPr="007E7471">
        <w:rPr>
          <w:rFonts w:ascii="Arial" w:hAnsi="Arial" w:cs="Arial"/>
        </w:rPr>
        <w:t>terpencil) dapatkah dikatagorikan sebagai mereka yang dapat masuk kedalam</w:t>
      </w:r>
      <w:r>
        <w:rPr>
          <w:rFonts w:ascii="Arial" w:hAnsi="Arial" w:cs="Arial"/>
        </w:rPr>
        <w:t xml:space="preserve"> </w:t>
      </w:r>
      <w:r w:rsidRPr="007E7471">
        <w:rPr>
          <w:rFonts w:ascii="Arial" w:hAnsi="Arial" w:cs="Arial"/>
        </w:rPr>
        <w:t>kriteria masyarakat kurang mampu? Beberapa hal tersebut dapat dijelaskan</w:t>
      </w:r>
      <w:r>
        <w:rPr>
          <w:rFonts w:ascii="Arial" w:hAnsi="Arial" w:cs="Arial"/>
        </w:rPr>
        <w:t xml:space="preserve"> </w:t>
      </w:r>
      <w:r w:rsidRPr="007E7471">
        <w:rPr>
          <w:rFonts w:ascii="Arial" w:hAnsi="Arial" w:cs="Arial"/>
        </w:rPr>
        <w:t>pada tabel berikut ini:</w:t>
      </w:r>
    </w:p>
    <w:p w14:paraId="17A3A70A" w14:textId="7C4BE05A" w:rsidR="00377E5D" w:rsidRDefault="00377E5D" w:rsidP="007E7471">
      <w:pPr>
        <w:spacing w:after="0" w:line="360" w:lineRule="auto"/>
        <w:ind w:firstLine="567"/>
        <w:jc w:val="both"/>
        <w:rPr>
          <w:rFonts w:ascii="Arial" w:hAnsi="Arial" w:cs="Arial"/>
        </w:rPr>
      </w:pPr>
    </w:p>
    <w:p w14:paraId="05EAE5F8" w14:textId="77777777" w:rsidR="00377E5D" w:rsidRDefault="00377E5D" w:rsidP="007E7471">
      <w:pPr>
        <w:spacing w:after="0" w:line="360" w:lineRule="auto"/>
        <w:ind w:firstLine="567"/>
        <w:jc w:val="both"/>
        <w:rPr>
          <w:rFonts w:ascii="Arial" w:hAnsi="Arial" w:cs="Arial"/>
        </w:rPr>
      </w:pPr>
    </w:p>
    <w:p w14:paraId="13D2CC1F" w14:textId="18ED7DF5" w:rsidR="00773EFC" w:rsidRDefault="00773EFC" w:rsidP="00773EFC">
      <w:pPr>
        <w:spacing w:after="0" w:line="360" w:lineRule="auto"/>
        <w:jc w:val="both"/>
        <w:rPr>
          <w:rFonts w:ascii="Arial" w:hAnsi="Arial" w:cs="Arial"/>
        </w:rPr>
      </w:pPr>
    </w:p>
    <w:tbl>
      <w:tblPr>
        <w:tblStyle w:val="KisiTabel"/>
        <w:tblW w:w="9067" w:type="dxa"/>
        <w:tblLook w:val="04A0" w:firstRow="1" w:lastRow="0" w:firstColumn="1" w:lastColumn="0" w:noHBand="0" w:noVBand="1"/>
      </w:tblPr>
      <w:tblGrid>
        <w:gridCol w:w="846"/>
        <w:gridCol w:w="3005"/>
        <w:gridCol w:w="5216"/>
      </w:tblGrid>
      <w:tr w:rsidR="00773EFC" w14:paraId="1BF98A93" w14:textId="77777777" w:rsidTr="00773EFC">
        <w:tc>
          <w:tcPr>
            <w:tcW w:w="846" w:type="dxa"/>
          </w:tcPr>
          <w:p w14:paraId="7D809263" w14:textId="5EB6CDC2" w:rsidR="00773EFC" w:rsidRPr="00377E5D" w:rsidRDefault="00773EFC" w:rsidP="00377E5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377E5D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3005" w:type="dxa"/>
          </w:tcPr>
          <w:p w14:paraId="487CE7A9" w14:textId="7812B131" w:rsidR="00773EFC" w:rsidRPr="00377E5D" w:rsidRDefault="00773EFC" w:rsidP="00377E5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377E5D">
              <w:rPr>
                <w:rFonts w:ascii="Arial" w:hAnsi="Arial" w:cs="Arial"/>
                <w:b/>
                <w:bCs/>
              </w:rPr>
              <w:t>Judul Peraturan</w:t>
            </w:r>
          </w:p>
        </w:tc>
        <w:tc>
          <w:tcPr>
            <w:tcW w:w="5216" w:type="dxa"/>
          </w:tcPr>
          <w:p w14:paraId="7AD0166F" w14:textId="3D1FA18E" w:rsidR="00773EFC" w:rsidRPr="00377E5D" w:rsidRDefault="00773EFC" w:rsidP="00377E5D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377E5D">
              <w:rPr>
                <w:rFonts w:ascii="Arial" w:hAnsi="Arial" w:cs="Arial"/>
                <w:b/>
                <w:bCs/>
              </w:rPr>
              <w:t>Pengaturan</w:t>
            </w:r>
          </w:p>
        </w:tc>
      </w:tr>
      <w:tr w:rsidR="00773EFC" w14:paraId="5398CF34" w14:textId="77777777" w:rsidTr="00773EFC">
        <w:tc>
          <w:tcPr>
            <w:tcW w:w="846" w:type="dxa"/>
          </w:tcPr>
          <w:p w14:paraId="4F45F2C2" w14:textId="01858939" w:rsidR="00773EFC" w:rsidRDefault="00773EFC" w:rsidP="00FF56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005" w:type="dxa"/>
          </w:tcPr>
          <w:p w14:paraId="497ECFA6" w14:textId="728EE56D" w:rsidR="00773EFC" w:rsidRDefault="00DF1393" w:rsidP="00377E5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F1393">
              <w:rPr>
                <w:rFonts w:ascii="Arial" w:hAnsi="Arial" w:cs="Arial"/>
              </w:rPr>
              <w:t>UU No. 8/1981</w:t>
            </w:r>
            <w:r w:rsidR="00377E5D"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>tentang KUHAP</w:t>
            </w:r>
            <w:r>
              <w:rPr>
                <w:rStyle w:val="ReferensiCatatanKaki"/>
                <w:rFonts w:ascii="Arial" w:hAnsi="Arial" w:cs="Arial"/>
              </w:rPr>
              <w:footnoteReference w:id="3"/>
            </w:r>
          </w:p>
        </w:tc>
        <w:tc>
          <w:tcPr>
            <w:tcW w:w="5216" w:type="dxa"/>
          </w:tcPr>
          <w:p w14:paraId="2E567809" w14:textId="77777777" w:rsidR="00DF1393" w:rsidRPr="00DF1393" w:rsidRDefault="00DF1393" w:rsidP="00DF139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F1393">
              <w:rPr>
                <w:rFonts w:ascii="Arial" w:hAnsi="Arial" w:cs="Arial"/>
              </w:rPr>
              <w:t>Pasal 56</w:t>
            </w:r>
          </w:p>
          <w:p w14:paraId="20F0DE9C" w14:textId="359A4112" w:rsidR="00773EFC" w:rsidRDefault="00DF1393" w:rsidP="00DF139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F1393">
              <w:rPr>
                <w:rFonts w:ascii="Arial" w:hAnsi="Arial" w:cs="Arial"/>
              </w:rPr>
              <w:t>Dalam hal tersangka atau terdakwa disangka atau</w:t>
            </w:r>
            <w:r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>didakwa melakukan tindak pidana yang diancam</w:t>
            </w:r>
            <w:r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>dengan pidana mati atau ancaman pidana lima belas</w:t>
            </w:r>
            <w:r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>tahun atau lebih atau bagi mereka yang tidak mampu</w:t>
            </w:r>
            <w:r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>yang diancam dengan pidana lima tahun atau lebih</w:t>
            </w:r>
            <w:r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>yang tidak mempunyai penasihat hukum sendiri,</w:t>
            </w:r>
            <w:r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 xml:space="preserve">pejabat yang bersangkutan </w:t>
            </w:r>
            <w:r w:rsidRPr="00DF1393">
              <w:rPr>
                <w:rFonts w:ascii="Arial" w:hAnsi="Arial" w:cs="Arial"/>
                <w:b/>
                <w:bCs/>
              </w:rPr>
              <w:t>pada semua tingkat pemeriksaan dalam proses peradilan wajib menunjuk penasehat hukum bagi mereka.</w:t>
            </w:r>
          </w:p>
        </w:tc>
      </w:tr>
      <w:tr w:rsidR="00773EFC" w14:paraId="0135F86A" w14:textId="77777777" w:rsidTr="00773EFC">
        <w:tc>
          <w:tcPr>
            <w:tcW w:w="846" w:type="dxa"/>
          </w:tcPr>
          <w:p w14:paraId="2851D123" w14:textId="79BF12E5" w:rsidR="00773EFC" w:rsidRDefault="00DF1393" w:rsidP="00FF56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05" w:type="dxa"/>
          </w:tcPr>
          <w:p w14:paraId="65D0FDFC" w14:textId="26930019" w:rsidR="00773EFC" w:rsidRDefault="00DF1393" w:rsidP="00377E5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F1393">
              <w:rPr>
                <w:rFonts w:ascii="Arial" w:hAnsi="Arial" w:cs="Arial"/>
              </w:rPr>
              <w:t>UU No. 31/1997</w:t>
            </w:r>
            <w:r w:rsidR="00377E5D"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>tentang Peradilan</w:t>
            </w:r>
            <w:r w:rsidR="00377E5D"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>Militer</w:t>
            </w:r>
          </w:p>
        </w:tc>
        <w:tc>
          <w:tcPr>
            <w:tcW w:w="5216" w:type="dxa"/>
          </w:tcPr>
          <w:p w14:paraId="07904DAC" w14:textId="77777777" w:rsidR="00DF1393" w:rsidRPr="00DF1393" w:rsidRDefault="00DF1393" w:rsidP="00DF139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F1393">
              <w:rPr>
                <w:rFonts w:ascii="Arial" w:hAnsi="Arial" w:cs="Arial"/>
              </w:rPr>
              <w:t>Pasal 215</w:t>
            </w:r>
          </w:p>
          <w:p w14:paraId="7C0426C8" w14:textId="2482BC5F" w:rsidR="00773EFC" w:rsidRDefault="00DF1393" w:rsidP="00DF1393">
            <w:pPr>
              <w:spacing w:line="360" w:lineRule="auto"/>
              <w:ind w:left="428" w:hanging="428"/>
              <w:jc w:val="both"/>
              <w:rPr>
                <w:rFonts w:ascii="Arial" w:hAnsi="Arial" w:cs="Arial"/>
              </w:rPr>
            </w:pPr>
            <w:r w:rsidRPr="00DF1393">
              <w:rPr>
                <w:rFonts w:ascii="Arial" w:hAnsi="Arial" w:cs="Arial"/>
              </w:rPr>
              <w:t>(1) Untuk kepentingan pembelaan perkaranya,</w:t>
            </w:r>
            <w:r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>Tersangka atau Terdakwa berhak mendapat</w:t>
            </w:r>
            <w:r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>bantuan hukum di semua tingkat pemeriksaan.</w:t>
            </w:r>
          </w:p>
          <w:p w14:paraId="1DAC9752" w14:textId="5FBA8A3B" w:rsidR="00DF1393" w:rsidRDefault="00DF1393" w:rsidP="00DF1393">
            <w:pPr>
              <w:spacing w:line="360" w:lineRule="auto"/>
              <w:ind w:left="428" w:hanging="428"/>
              <w:jc w:val="both"/>
              <w:rPr>
                <w:rFonts w:ascii="Arial" w:hAnsi="Arial" w:cs="Arial"/>
              </w:rPr>
            </w:pPr>
            <w:r w:rsidRPr="00DF1393">
              <w:rPr>
                <w:rFonts w:ascii="Arial" w:hAnsi="Arial" w:cs="Arial"/>
              </w:rPr>
              <w:t xml:space="preserve">(2) </w:t>
            </w:r>
            <w:r>
              <w:rPr>
                <w:rFonts w:ascii="Arial" w:hAnsi="Arial" w:cs="Arial"/>
              </w:rPr>
              <w:tab/>
            </w:r>
            <w:r w:rsidRPr="00DF1393">
              <w:rPr>
                <w:rFonts w:ascii="Arial" w:hAnsi="Arial" w:cs="Arial"/>
              </w:rPr>
              <w:t>Bantuan hukum sebagaimana dimaksud pada ayat</w:t>
            </w:r>
            <w:r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>(1) diutamakan dari dinas bantuan hukum yang</w:t>
            </w:r>
            <w:r>
              <w:rPr>
                <w:rFonts w:ascii="Arial" w:hAnsi="Arial" w:cs="Arial"/>
              </w:rPr>
              <w:t xml:space="preserve"> </w:t>
            </w:r>
            <w:r w:rsidRPr="00DF1393">
              <w:rPr>
                <w:rFonts w:ascii="Arial" w:hAnsi="Arial" w:cs="Arial"/>
              </w:rPr>
              <w:t>ada di lingkungan Angkatan Bersenjata.</w:t>
            </w:r>
          </w:p>
        </w:tc>
      </w:tr>
      <w:tr w:rsidR="00773EFC" w14:paraId="6F0F5FA9" w14:textId="77777777" w:rsidTr="00773EFC">
        <w:tc>
          <w:tcPr>
            <w:tcW w:w="846" w:type="dxa"/>
          </w:tcPr>
          <w:p w14:paraId="0E87A2E6" w14:textId="7914059D" w:rsidR="00773EFC" w:rsidRDefault="00377E5D" w:rsidP="00FF56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005" w:type="dxa"/>
          </w:tcPr>
          <w:p w14:paraId="3EE8E59E" w14:textId="3629F34E" w:rsidR="00377E5D" w:rsidRPr="00377E5D" w:rsidRDefault="00377E5D" w:rsidP="00377E5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77E5D">
              <w:rPr>
                <w:rFonts w:ascii="Arial" w:hAnsi="Arial" w:cs="Arial"/>
              </w:rPr>
              <w:t>UU No. 13/1998</w:t>
            </w:r>
            <w:r>
              <w:rPr>
                <w:rFonts w:ascii="Arial" w:hAnsi="Arial" w:cs="Arial"/>
              </w:rPr>
              <w:t xml:space="preserve"> </w:t>
            </w:r>
            <w:r w:rsidRPr="00377E5D">
              <w:rPr>
                <w:rFonts w:ascii="Arial" w:hAnsi="Arial" w:cs="Arial"/>
              </w:rPr>
              <w:t>tentang</w:t>
            </w:r>
          </w:p>
          <w:p w14:paraId="0481015D" w14:textId="6318854B" w:rsidR="00773EFC" w:rsidRDefault="00377E5D" w:rsidP="00377E5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377E5D">
              <w:rPr>
                <w:rFonts w:ascii="Arial" w:hAnsi="Arial" w:cs="Arial"/>
              </w:rPr>
              <w:t>Kesejahteraan Lanjut</w:t>
            </w:r>
            <w:r>
              <w:rPr>
                <w:rFonts w:ascii="Arial" w:hAnsi="Arial" w:cs="Arial"/>
              </w:rPr>
              <w:t xml:space="preserve"> </w:t>
            </w:r>
            <w:r w:rsidRPr="00377E5D">
              <w:rPr>
                <w:rFonts w:ascii="Arial" w:hAnsi="Arial" w:cs="Arial"/>
              </w:rPr>
              <w:t>Usia</w:t>
            </w:r>
          </w:p>
        </w:tc>
        <w:tc>
          <w:tcPr>
            <w:tcW w:w="5216" w:type="dxa"/>
          </w:tcPr>
          <w:p w14:paraId="46FD4F4E" w14:textId="5D786A40" w:rsidR="00377E5D" w:rsidRPr="00377E5D" w:rsidRDefault="00377E5D" w:rsidP="00377E5D">
            <w:pPr>
              <w:spacing w:line="360" w:lineRule="auto"/>
              <w:ind w:left="428" w:hanging="428"/>
              <w:jc w:val="both"/>
              <w:rPr>
                <w:rFonts w:ascii="Arial" w:hAnsi="Arial" w:cs="Arial"/>
              </w:rPr>
            </w:pPr>
            <w:r w:rsidRPr="00377E5D">
              <w:rPr>
                <w:rFonts w:ascii="Arial" w:hAnsi="Arial" w:cs="Arial"/>
              </w:rPr>
              <w:t>(2)</w:t>
            </w:r>
            <w:r>
              <w:rPr>
                <w:rFonts w:ascii="Arial" w:hAnsi="Arial" w:cs="Arial"/>
              </w:rPr>
              <w:tab/>
            </w:r>
            <w:r w:rsidRPr="00377E5D">
              <w:rPr>
                <w:rFonts w:ascii="Arial" w:hAnsi="Arial" w:cs="Arial"/>
              </w:rPr>
              <w:t>Sebagai penghormatan dan penghargaan kepada</w:t>
            </w:r>
            <w:r>
              <w:rPr>
                <w:rFonts w:ascii="Arial" w:hAnsi="Arial" w:cs="Arial"/>
              </w:rPr>
              <w:t xml:space="preserve"> </w:t>
            </w:r>
            <w:r w:rsidRPr="00377E5D">
              <w:rPr>
                <w:rFonts w:ascii="Arial" w:hAnsi="Arial" w:cs="Arial"/>
              </w:rPr>
              <w:t>lanjut usia diberikan hak untuk meningkatkan</w:t>
            </w:r>
            <w:r>
              <w:rPr>
                <w:rFonts w:ascii="Arial" w:hAnsi="Arial" w:cs="Arial"/>
              </w:rPr>
              <w:t xml:space="preserve"> </w:t>
            </w:r>
            <w:r w:rsidRPr="00377E5D">
              <w:rPr>
                <w:rFonts w:ascii="Arial" w:hAnsi="Arial" w:cs="Arial"/>
              </w:rPr>
              <w:t>kesejahteraan sosial yang meliputi:</w:t>
            </w:r>
          </w:p>
          <w:p w14:paraId="7ED83B60" w14:textId="668C6B64" w:rsidR="00377E5D" w:rsidRPr="00377E5D" w:rsidRDefault="00377E5D" w:rsidP="00377E5D">
            <w:pPr>
              <w:pStyle w:val="DaftarParagraf"/>
              <w:numPr>
                <w:ilvl w:val="1"/>
                <w:numId w:val="13"/>
              </w:numPr>
              <w:spacing w:line="360" w:lineRule="auto"/>
              <w:ind w:left="853" w:hanging="425"/>
              <w:jc w:val="both"/>
              <w:rPr>
                <w:rFonts w:ascii="Arial" w:hAnsi="Arial" w:cs="Arial"/>
              </w:rPr>
            </w:pPr>
            <w:r w:rsidRPr="00377E5D">
              <w:rPr>
                <w:rFonts w:ascii="Arial" w:hAnsi="Arial" w:cs="Arial"/>
              </w:rPr>
              <w:t>pelayanan keagamaan dan mental spiritual;</w:t>
            </w:r>
          </w:p>
          <w:p w14:paraId="486ABC20" w14:textId="743FBAD5" w:rsidR="00377E5D" w:rsidRPr="00377E5D" w:rsidRDefault="00377E5D" w:rsidP="00377E5D">
            <w:pPr>
              <w:pStyle w:val="DaftarParagraf"/>
              <w:numPr>
                <w:ilvl w:val="1"/>
                <w:numId w:val="13"/>
              </w:numPr>
              <w:spacing w:line="360" w:lineRule="auto"/>
              <w:ind w:left="853" w:hanging="425"/>
              <w:jc w:val="both"/>
              <w:rPr>
                <w:rFonts w:ascii="Arial" w:hAnsi="Arial" w:cs="Arial"/>
              </w:rPr>
            </w:pPr>
            <w:r w:rsidRPr="00377E5D">
              <w:rPr>
                <w:rFonts w:ascii="Arial" w:hAnsi="Arial" w:cs="Arial"/>
              </w:rPr>
              <w:t>pelayanan kesehatan;</w:t>
            </w:r>
          </w:p>
          <w:p w14:paraId="41BFE0FB" w14:textId="0951FBE7" w:rsidR="00377E5D" w:rsidRPr="00377E5D" w:rsidRDefault="00377E5D" w:rsidP="00377E5D">
            <w:pPr>
              <w:pStyle w:val="DaftarParagraf"/>
              <w:numPr>
                <w:ilvl w:val="1"/>
                <w:numId w:val="13"/>
              </w:numPr>
              <w:spacing w:line="360" w:lineRule="auto"/>
              <w:ind w:left="853" w:hanging="425"/>
              <w:jc w:val="both"/>
              <w:rPr>
                <w:rFonts w:ascii="Arial" w:hAnsi="Arial" w:cs="Arial"/>
              </w:rPr>
            </w:pPr>
            <w:r w:rsidRPr="00377E5D">
              <w:rPr>
                <w:rFonts w:ascii="Arial" w:hAnsi="Arial" w:cs="Arial"/>
              </w:rPr>
              <w:t>pelayanan kesempatan kerja;</w:t>
            </w:r>
          </w:p>
          <w:p w14:paraId="7926D05A" w14:textId="22976C73" w:rsidR="00377E5D" w:rsidRPr="00377E5D" w:rsidRDefault="00377E5D" w:rsidP="00377E5D">
            <w:pPr>
              <w:pStyle w:val="DaftarParagraf"/>
              <w:numPr>
                <w:ilvl w:val="1"/>
                <w:numId w:val="13"/>
              </w:numPr>
              <w:spacing w:line="360" w:lineRule="auto"/>
              <w:ind w:left="853" w:hanging="425"/>
              <w:jc w:val="both"/>
              <w:rPr>
                <w:rFonts w:ascii="Arial" w:hAnsi="Arial" w:cs="Arial"/>
              </w:rPr>
            </w:pPr>
            <w:r w:rsidRPr="00377E5D">
              <w:rPr>
                <w:rFonts w:ascii="Arial" w:hAnsi="Arial" w:cs="Arial"/>
              </w:rPr>
              <w:t>pelayanan pendidikan dan pelatihan;</w:t>
            </w:r>
          </w:p>
          <w:p w14:paraId="5711FE64" w14:textId="4AC764EC" w:rsidR="00377E5D" w:rsidRPr="00377E5D" w:rsidRDefault="00377E5D" w:rsidP="00377E5D">
            <w:pPr>
              <w:pStyle w:val="DaftarParagraf"/>
              <w:numPr>
                <w:ilvl w:val="1"/>
                <w:numId w:val="13"/>
              </w:numPr>
              <w:spacing w:line="360" w:lineRule="auto"/>
              <w:ind w:left="853" w:hanging="425"/>
              <w:jc w:val="both"/>
              <w:rPr>
                <w:rFonts w:ascii="Arial" w:hAnsi="Arial" w:cs="Arial"/>
              </w:rPr>
            </w:pPr>
            <w:r w:rsidRPr="00377E5D">
              <w:rPr>
                <w:rFonts w:ascii="Arial" w:hAnsi="Arial" w:cs="Arial"/>
              </w:rPr>
              <w:t>kemudahan dalam penggunaan fasilitas, sarana,</w:t>
            </w:r>
            <w:r>
              <w:rPr>
                <w:rFonts w:ascii="Arial" w:hAnsi="Arial" w:cs="Arial"/>
              </w:rPr>
              <w:t xml:space="preserve"> </w:t>
            </w:r>
            <w:r w:rsidRPr="00377E5D">
              <w:rPr>
                <w:rFonts w:ascii="Arial" w:hAnsi="Arial" w:cs="Arial"/>
              </w:rPr>
              <w:t>dan prasarana umum.</w:t>
            </w:r>
          </w:p>
          <w:p w14:paraId="68591C8A" w14:textId="702A9D23" w:rsidR="00377E5D" w:rsidRPr="00377E5D" w:rsidRDefault="00377E5D" w:rsidP="00377E5D">
            <w:pPr>
              <w:pStyle w:val="DaftarParagraf"/>
              <w:numPr>
                <w:ilvl w:val="1"/>
                <w:numId w:val="13"/>
              </w:numPr>
              <w:spacing w:line="360" w:lineRule="auto"/>
              <w:ind w:left="853" w:hanging="425"/>
              <w:jc w:val="both"/>
              <w:rPr>
                <w:rFonts w:ascii="Arial" w:hAnsi="Arial" w:cs="Arial"/>
                <w:b/>
                <w:bCs/>
              </w:rPr>
            </w:pPr>
            <w:r w:rsidRPr="00377E5D">
              <w:rPr>
                <w:rFonts w:ascii="Arial" w:hAnsi="Arial" w:cs="Arial"/>
                <w:b/>
                <w:bCs/>
              </w:rPr>
              <w:t>kemudahan dalam layanan dan bantuan hukum;</w:t>
            </w:r>
          </w:p>
          <w:p w14:paraId="690444B6" w14:textId="77777777" w:rsidR="00377E5D" w:rsidRDefault="00377E5D" w:rsidP="00377E5D">
            <w:pPr>
              <w:pStyle w:val="DaftarParagraf"/>
              <w:numPr>
                <w:ilvl w:val="1"/>
                <w:numId w:val="13"/>
              </w:numPr>
              <w:spacing w:line="360" w:lineRule="auto"/>
              <w:ind w:left="853" w:hanging="425"/>
              <w:jc w:val="both"/>
              <w:rPr>
                <w:rFonts w:ascii="Arial" w:hAnsi="Arial" w:cs="Arial"/>
              </w:rPr>
            </w:pPr>
            <w:r w:rsidRPr="00377E5D">
              <w:rPr>
                <w:rFonts w:ascii="Arial" w:hAnsi="Arial" w:cs="Arial"/>
              </w:rPr>
              <w:t>perlindungan sosial;</w:t>
            </w:r>
          </w:p>
          <w:p w14:paraId="641E076A" w14:textId="4C836D48" w:rsidR="00773EFC" w:rsidRPr="00377E5D" w:rsidRDefault="00377E5D" w:rsidP="00377E5D">
            <w:pPr>
              <w:pStyle w:val="DaftarParagraf"/>
              <w:numPr>
                <w:ilvl w:val="1"/>
                <w:numId w:val="13"/>
              </w:numPr>
              <w:spacing w:line="360" w:lineRule="auto"/>
              <w:ind w:left="853" w:hanging="425"/>
              <w:jc w:val="both"/>
              <w:rPr>
                <w:rFonts w:ascii="Arial" w:hAnsi="Arial" w:cs="Arial"/>
              </w:rPr>
            </w:pPr>
            <w:r w:rsidRPr="00377E5D">
              <w:rPr>
                <w:rFonts w:ascii="Arial" w:hAnsi="Arial" w:cs="Arial"/>
              </w:rPr>
              <w:t>bantuan sosial.</w:t>
            </w:r>
          </w:p>
        </w:tc>
      </w:tr>
      <w:tr w:rsidR="00773EFC" w14:paraId="065D3480" w14:textId="77777777" w:rsidTr="00773EFC">
        <w:tc>
          <w:tcPr>
            <w:tcW w:w="846" w:type="dxa"/>
          </w:tcPr>
          <w:p w14:paraId="3BD5B900" w14:textId="0591BC75" w:rsidR="00773EFC" w:rsidRDefault="00FF5653" w:rsidP="00FF56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05" w:type="dxa"/>
          </w:tcPr>
          <w:p w14:paraId="11271057" w14:textId="33BFCCC2" w:rsidR="00773EFC" w:rsidRDefault="00F8103D" w:rsidP="00B07AF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UU No. 39/1999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tentang HAM</w:t>
            </w:r>
          </w:p>
        </w:tc>
        <w:tc>
          <w:tcPr>
            <w:tcW w:w="5216" w:type="dxa"/>
          </w:tcPr>
          <w:p w14:paraId="0DEF7E67" w14:textId="77777777" w:rsidR="00F8103D" w:rsidRPr="00F8103D" w:rsidRDefault="00F8103D" w:rsidP="00F8103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Pasal 18 ayat (4)</w:t>
            </w:r>
          </w:p>
          <w:p w14:paraId="22AA9D31" w14:textId="7409C446" w:rsidR="00773EFC" w:rsidRDefault="00F8103D" w:rsidP="00B07AF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Setiap orang yang diperiksa berhak mendapatkan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bantuan hukum sejak saat penyidikan sampai adanya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putusan pengadilan yang telah memperoleh kekuatan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hukum tetap.</w:t>
            </w:r>
          </w:p>
        </w:tc>
      </w:tr>
      <w:tr w:rsidR="00F8103D" w14:paraId="559DB19C" w14:textId="77777777" w:rsidTr="00773EFC">
        <w:tc>
          <w:tcPr>
            <w:tcW w:w="846" w:type="dxa"/>
          </w:tcPr>
          <w:p w14:paraId="2CBD2027" w14:textId="42F7898E" w:rsidR="00F8103D" w:rsidRDefault="00FF5653" w:rsidP="00FF56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3005" w:type="dxa"/>
          </w:tcPr>
          <w:p w14:paraId="6E87305D" w14:textId="1EE59BC0" w:rsidR="00F8103D" w:rsidRDefault="00F8103D" w:rsidP="00B07AF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UU No. 18/2003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tentang Advokat</w:t>
            </w:r>
          </w:p>
        </w:tc>
        <w:tc>
          <w:tcPr>
            <w:tcW w:w="5216" w:type="dxa"/>
          </w:tcPr>
          <w:p w14:paraId="4DA4B6AA" w14:textId="77777777" w:rsidR="00F8103D" w:rsidRPr="00F8103D" w:rsidRDefault="00F8103D" w:rsidP="00F8103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Pasal 22 ayat (1)</w:t>
            </w:r>
          </w:p>
          <w:p w14:paraId="53574277" w14:textId="32CF45CC" w:rsidR="00F8103D" w:rsidRDefault="00F8103D" w:rsidP="00B07AF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Advokat wajib memberikan bantuan hukum secara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cuma-cuma kepada pencari keadilan yang tidak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mampu.</w:t>
            </w:r>
          </w:p>
        </w:tc>
      </w:tr>
      <w:tr w:rsidR="00F8103D" w14:paraId="5F069B1D" w14:textId="77777777" w:rsidTr="00773EFC">
        <w:tc>
          <w:tcPr>
            <w:tcW w:w="846" w:type="dxa"/>
          </w:tcPr>
          <w:p w14:paraId="43F17C75" w14:textId="2D64D724" w:rsidR="00F8103D" w:rsidRDefault="00FF5653" w:rsidP="00FF56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3005" w:type="dxa"/>
          </w:tcPr>
          <w:p w14:paraId="22407E01" w14:textId="50A9F1E8" w:rsidR="00F8103D" w:rsidRDefault="00F8103D" w:rsidP="00B07AF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UU No. 23/2004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tentang PKDRT</w:t>
            </w:r>
          </w:p>
        </w:tc>
        <w:tc>
          <w:tcPr>
            <w:tcW w:w="5216" w:type="dxa"/>
          </w:tcPr>
          <w:p w14:paraId="52587BCF" w14:textId="77777777" w:rsidR="00F8103D" w:rsidRPr="00F8103D" w:rsidRDefault="00F8103D" w:rsidP="00F8103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Pasal 10 huruf c</w:t>
            </w:r>
          </w:p>
          <w:p w14:paraId="1F2EBC9D" w14:textId="1F2B6743" w:rsidR="00F8103D" w:rsidRDefault="00F8103D" w:rsidP="00B07AF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Korban berhak mendapatkan pendampingan oleh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pekerja sosial dan bantuan hukum pada setiap tingkat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proses pemeriksaan sesuai dengan ketentuan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peraturan perundang-undangan</w:t>
            </w:r>
          </w:p>
        </w:tc>
      </w:tr>
      <w:tr w:rsidR="00F8103D" w14:paraId="07526502" w14:textId="77777777" w:rsidTr="00773EFC">
        <w:tc>
          <w:tcPr>
            <w:tcW w:w="846" w:type="dxa"/>
          </w:tcPr>
          <w:p w14:paraId="4D6E2F1F" w14:textId="109E4FA8" w:rsidR="00F8103D" w:rsidRDefault="00FF5653" w:rsidP="00FF56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3005" w:type="dxa"/>
          </w:tcPr>
          <w:p w14:paraId="17128F8E" w14:textId="25CA563F" w:rsidR="00F8103D" w:rsidRDefault="00F8103D" w:rsidP="00B07AF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UU No. 48/2009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tentang Kekuasaan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Kehakiman</w:t>
            </w:r>
          </w:p>
        </w:tc>
        <w:tc>
          <w:tcPr>
            <w:tcW w:w="5216" w:type="dxa"/>
          </w:tcPr>
          <w:p w14:paraId="27AE89D4" w14:textId="77777777" w:rsidR="00F8103D" w:rsidRPr="00F8103D" w:rsidRDefault="00F8103D" w:rsidP="00F8103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Pasal 56 ayat (1)</w:t>
            </w:r>
          </w:p>
          <w:p w14:paraId="518D36AE" w14:textId="0C4A9E0C" w:rsidR="00F8103D" w:rsidRPr="00F8103D" w:rsidRDefault="00F8103D" w:rsidP="00B07AFB">
            <w:pPr>
              <w:spacing w:line="360" w:lineRule="auto"/>
              <w:ind w:left="428" w:hanging="428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 xml:space="preserve">(1) </w:t>
            </w:r>
            <w:r w:rsidR="00B07AFB">
              <w:rPr>
                <w:rFonts w:ascii="Arial" w:hAnsi="Arial" w:cs="Arial"/>
              </w:rPr>
              <w:tab/>
            </w:r>
            <w:r w:rsidRPr="00F8103D">
              <w:rPr>
                <w:rFonts w:ascii="Arial" w:hAnsi="Arial" w:cs="Arial"/>
              </w:rPr>
              <w:t>Setiap orang yang tersangkut perkara berhak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memperoleh bantuan hukum.</w:t>
            </w:r>
          </w:p>
          <w:p w14:paraId="3E1A0584" w14:textId="259DF7F8" w:rsidR="00F8103D" w:rsidRDefault="00F8103D" w:rsidP="00B07AFB">
            <w:pPr>
              <w:spacing w:line="360" w:lineRule="auto"/>
              <w:ind w:left="428" w:hanging="428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 xml:space="preserve">(2) </w:t>
            </w:r>
            <w:r w:rsidR="00B07AFB">
              <w:rPr>
                <w:rFonts w:ascii="Arial" w:hAnsi="Arial" w:cs="Arial"/>
              </w:rPr>
              <w:tab/>
            </w:r>
            <w:r w:rsidRPr="00F8103D">
              <w:rPr>
                <w:rFonts w:ascii="Arial" w:hAnsi="Arial" w:cs="Arial"/>
              </w:rPr>
              <w:t>Negara menanggung biaya perkara bagi pencari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keadilan yang tidak mampu.</w:t>
            </w:r>
          </w:p>
        </w:tc>
      </w:tr>
      <w:tr w:rsidR="00F8103D" w14:paraId="60FCCA93" w14:textId="77777777" w:rsidTr="00773EFC">
        <w:tc>
          <w:tcPr>
            <w:tcW w:w="846" w:type="dxa"/>
          </w:tcPr>
          <w:p w14:paraId="4A1BC767" w14:textId="24628FC3" w:rsidR="00F8103D" w:rsidRDefault="00FF5653" w:rsidP="00FF56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3005" w:type="dxa"/>
          </w:tcPr>
          <w:p w14:paraId="26BDA20C" w14:textId="5781A3B4" w:rsidR="00F8103D" w:rsidRDefault="00F8103D" w:rsidP="00B07AF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UU No. 49/2009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tentang Peradilan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Umum</w:t>
            </w:r>
          </w:p>
        </w:tc>
        <w:tc>
          <w:tcPr>
            <w:tcW w:w="5216" w:type="dxa"/>
          </w:tcPr>
          <w:p w14:paraId="115BFAE4" w14:textId="77777777" w:rsidR="00F8103D" w:rsidRPr="00F8103D" w:rsidRDefault="00F8103D" w:rsidP="00F8103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Pasal 68B</w:t>
            </w:r>
          </w:p>
          <w:p w14:paraId="02322B9A" w14:textId="3B35EC77" w:rsidR="00F8103D" w:rsidRPr="00F8103D" w:rsidRDefault="00F8103D" w:rsidP="00B07AFB">
            <w:pPr>
              <w:spacing w:line="360" w:lineRule="auto"/>
              <w:ind w:left="428" w:hanging="428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 xml:space="preserve">(1) </w:t>
            </w:r>
            <w:r w:rsidR="00B07AFB">
              <w:rPr>
                <w:rFonts w:ascii="Arial" w:hAnsi="Arial" w:cs="Arial"/>
              </w:rPr>
              <w:tab/>
            </w:r>
            <w:r w:rsidRPr="00F8103D">
              <w:rPr>
                <w:rFonts w:ascii="Arial" w:hAnsi="Arial" w:cs="Arial"/>
              </w:rPr>
              <w:t>Setiap orang yang tersangkut perkara berhak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memperoleh bantuan hukum.</w:t>
            </w:r>
          </w:p>
          <w:p w14:paraId="1F44A95A" w14:textId="1EBD6B39" w:rsidR="00F8103D" w:rsidRPr="00F8103D" w:rsidRDefault="00F8103D" w:rsidP="00B07AFB">
            <w:pPr>
              <w:spacing w:line="360" w:lineRule="auto"/>
              <w:ind w:left="428" w:hanging="428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 xml:space="preserve">(2) </w:t>
            </w:r>
            <w:r w:rsidR="00B07AFB">
              <w:rPr>
                <w:rFonts w:ascii="Arial" w:hAnsi="Arial" w:cs="Arial"/>
              </w:rPr>
              <w:tab/>
            </w:r>
            <w:r w:rsidRPr="00F8103D">
              <w:rPr>
                <w:rFonts w:ascii="Arial" w:hAnsi="Arial" w:cs="Arial"/>
              </w:rPr>
              <w:t>Negara menanggung biaya perkara bagi pencari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keadilan yang tidak mampu.</w:t>
            </w:r>
          </w:p>
          <w:p w14:paraId="53FE61DA" w14:textId="4D385AE7" w:rsidR="00F8103D" w:rsidRDefault="00F8103D" w:rsidP="00B07AFB">
            <w:pPr>
              <w:spacing w:line="360" w:lineRule="auto"/>
              <w:ind w:left="428" w:hanging="428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(3)</w:t>
            </w:r>
            <w:r w:rsidR="00B07AFB">
              <w:rPr>
                <w:rFonts w:ascii="Arial" w:hAnsi="Arial" w:cs="Arial"/>
              </w:rPr>
              <w:tab/>
            </w:r>
            <w:r w:rsidRPr="00F8103D">
              <w:rPr>
                <w:rFonts w:ascii="Arial" w:hAnsi="Arial" w:cs="Arial"/>
              </w:rPr>
              <w:t>Pihak yang tidak mampu sebagaimana dimaksud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pada ayat (1) harus melampirkan surat keterangan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tidak mampu dari kelurahan tempat domisili yang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bersangkutan.</w:t>
            </w:r>
          </w:p>
        </w:tc>
      </w:tr>
      <w:tr w:rsidR="00F8103D" w14:paraId="3107E061" w14:textId="77777777" w:rsidTr="00773EFC">
        <w:tc>
          <w:tcPr>
            <w:tcW w:w="846" w:type="dxa"/>
          </w:tcPr>
          <w:p w14:paraId="12003F1D" w14:textId="7431FA5D" w:rsidR="00F8103D" w:rsidRDefault="00FF5653" w:rsidP="00FF56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3005" w:type="dxa"/>
          </w:tcPr>
          <w:p w14:paraId="2E81FEAC" w14:textId="6A6C3602" w:rsidR="00F8103D" w:rsidRDefault="00F8103D" w:rsidP="00B07AF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UU No. 11/2012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tentang SPPA</w:t>
            </w:r>
          </w:p>
        </w:tc>
        <w:tc>
          <w:tcPr>
            <w:tcW w:w="5216" w:type="dxa"/>
          </w:tcPr>
          <w:p w14:paraId="18FAABC8" w14:textId="77777777" w:rsidR="00F8103D" w:rsidRPr="00F8103D" w:rsidRDefault="00F8103D" w:rsidP="00F8103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Pasal 23</w:t>
            </w:r>
          </w:p>
          <w:p w14:paraId="24BE614C" w14:textId="520E7161" w:rsidR="00F8103D" w:rsidRPr="00F8103D" w:rsidRDefault="00F8103D" w:rsidP="00F8103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Dalam setiap tingkat pemeriksaan, Anak wajib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diberikan bantuan hukum dan didampingi oleh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Pembimbing Kemasyarakatan atau pendamping lain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sesuai dengan ketentuan peraturan perundang-</w:t>
            </w:r>
          </w:p>
          <w:p w14:paraId="4C13DCBB" w14:textId="36A75EA7" w:rsidR="00F8103D" w:rsidRDefault="00F8103D" w:rsidP="00F8103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undangan.</w:t>
            </w:r>
          </w:p>
        </w:tc>
      </w:tr>
      <w:tr w:rsidR="00F8103D" w14:paraId="45EF8DA8" w14:textId="77777777" w:rsidTr="00773EFC">
        <w:tc>
          <w:tcPr>
            <w:tcW w:w="846" w:type="dxa"/>
          </w:tcPr>
          <w:p w14:paraId="72BF2F3E" w14:textId="16960314" w:rsidR="00F8103D" w:rsidRDefault="00FF5653" w:rsidP="00FF56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3005" w:type="dxa"/>
          </w:tcPr>
          <w:p w14:paraId="2B845855" w14:textId="6515990A" w:rsidR="00F8103D" w:rsidRDefault="00F8103D" w:rsidP="00B07AF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UU No. 23/2002 jo.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UU No. 35/2014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tentang Perlindungan</w:t>
            </w:r>
            <w:r w:rsidR="00B07AFB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Anak</w:t>
            </w:r>
          </w:p>
        </w:tc>
        <w:tc>
          <w:tcPr>
            <w:tcW w:w="5216" w:type="dxa"/>
          </w:tcPr>
          <w:p w14:paraId="39E5E87F" w14:textId="0B7A7B55" w:rsidR="00F8103D" w:rsidRPr="00F8103D" w:rsidRDefault="00F8103D" w:rsidP="00F8103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Setiap anak yang dirampas kebebasannya berhak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untuk :</w:t>
            </w:r>
          </w:p>
          <w:p w14:paraId="7B206BAE" w14:textId="122893E9" w:rsidR="00F8103D" w:rsidRPr="00FF5653" w:rsidRDefault="00F8103D" w:rsidP="00FF5653">
            <w:pPr>
              <w:pStyle w:val="DaftarParagraf"/>
              <w:numPr>
                <w:ilvl w:val="0"/>
                <w:numId w:val="14"/>
              </w:numPr>
              <w:spacing w:line="360" w:lineRule="auto"/>
              <w:ind w:left="428" w:hanging="428"/>
              <w:jc w:val="both"/>
              <w:rPr>
                <w:rFonts w:ascii="Arial" w:hAnsi="Arial" w:cs="Arial"/>
              </w:rPr>
            </w:pPr>
            <w:r w:rsidRPr="00FF5653">
              <w:rPr>
                <w:rFonts w:ascii="Arial" w:hAnsi="Arial" w:cs="Arial"/>
              </w:rPr>
              <w:t>mendapatkan perlakuan secara manusiawi dan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F5653">
              <w:rPr>
                <w:rFonts w:ascii="Arial" w:hAnsi="Arial" w:cs="Arial"/>
              </w:rPr>
              <w:t>penempatannya dipisahkan dari orang dewasa;</w:t>
            </w:r>
          </w:p>
          <w:p w14:paraId="428DD0D6" w14:textId="1EDC4646" w:rsidR="00F8103D" w:rsidRPr="00FF5653" w:rsidRDefault="00F8103D" w:rsidP="00FF5653">
            <w:pPr>
              <w:pStyle w:val="DaftarParagraf"/>
              <w:numPr>
                <w:ilvl w:val="0"/>
                <w:numId w:val="14"/>
              </w:numPr>
              <w:spacing w:line="360" w:lineRule="auto"/>
              <w:ind w:left="428" w:hanging="428"/>
              <w:jc w:val="both"/>
              <w:rPr>
                <w:rFonts w:ascii="Arial" w:hAnsi="Arial" w:cs="Arial"/>
              </w:rPr>
            </w:pPr>
            <w:r w:rsidRPr="00FF5653">
              <w:rPr>
                <w:rFonts w:ascii="Arial" w:hAnsi="Arial" w:cs="Arial"/>
              </w:rPr>
              <w:t>memperoleh bantuan hukum atau bantuan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F5653">
              <w:rPr>
                <w:rFonts w:ascii="Arial" w:hAnsi="Arial" w:cs="Arial"/>
              </w:rPr>
              <w:t>lainnya secara efektif dalam setiap tahapan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F5653">
              <w:rPr>
                <w:rFonts w:ascii="Arial" w:hAnsi="Arial" w:cs="Arial"/>
              </w:rPr>
              <w:t>upaya hukum yang berlaku; dan</w:t>
            </w:r>
          </w:p>
          <w:p w14:paraId="0F3D83A2" w14:textId="76F413C0" w:rsidR="00F8103D" w:rsidRPr="00FF5653" w:rsidRDefault="00F8103D" w:rsidP="00F8103D">
            <w:pPr>
              <w:pStyle w:val="DaftarParagraf"/>
              <w:numPr>
                <w:ilvl w:val="0"/>
                <w:numId w:val="14"/>
              </w:numPr>
              <w:spacing w:line="360" w:lineRule="auto"/>
              <w:ind w:left="428" w:hanging="428"/>
              <w:jc w:val="both"/>
              <w:rPr>
                <w:rFonts w:ascii="Arial" w:hAnsi="Arial" w:cs="Arial"/>
              </w:rPr>
            </w:pPr>
            <w:r w:rsidRPr="00FF5653">
              <w:rPr>
                <w:rFonts w:ascii="Arial" w:hAnsi="Arial" w:cs="Arial"/>
              </w:rPr>
              <w:t>membela diri dan memperoleh keadilan di</w:t>
            </w:r>
            <w:r w:rsidR="00FF5653">
              <w:rPr>
                <w:rFonts w:ascii="Arial" w:hAnsi="Arial" w:cs="Arial"/>
              </w:rPr>
              <w:t xml:space="preserve"> </w:t>
            </w:r>
            <w:r w:rsidRPr="00FF5653">
              <w:rPr>
                <w:rFonts w:ascii="Arial" w:hAnsi="Arial" w:cs="Arial"/>
              </w:rPr>
              <w:t>depan pengadilan anak yang objektif dan tida</w:t>
            </w:r>
            <w:r w:rsidR="00FF5653">
              <w:rPr>
                <w:rFonts w:ascii="Arial" w:hAnsi="Arial" w:cs="Arial"/>
              </w:rPr>
              <w:t xml:space="preserve">k </w:t>
            </w:r>
            <w:r w:rsidRPr="00FF5653">
              <w:rPr>
                <w:rFonts w:ascii="Arial" w:hAnsi="Arial" w:cs="Arial"/>
              </w:rPr>
              <w:t>memihak dalam sidang tertutup untuk umum.</w:t>
            </w:r>
          </w:p>
        </w:tc>
      </w:tr>
      <w:tr w:rsidR="00F8103D" w14:paraId="20FCBFD9" w14:textId="77777777" w:rsidTr="00773EFC">
        <w:tc>
          <w:tcPr>
            <w:tcW w:w="846" w:type="dxa"/>
          </w:tcPr>
          <w:p w14:paraId="0C198733" w14:textId="7F9B54EC" w:rsidR="00F8103D" w:rsidRDefault="00FF5653" w:rsidP="00FF56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005" w:type="dxa"/>
          </w:tcPr>
          <w:p w14:paraId="4A646181" w14:textId="2289419A" w:rsidR="00F8103D" w:rsidRDefault="00F8103D" w:rsidP="00FF565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UU No. 7/2016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tentang Perlindungan</w:t>
            </w:r>
            <w:r w:rsidR="00FF5653">
              <w:rPr>
                <w:rFonts w:ascii="Arial" w:hAnsi="Arial" w:cs="Arial"/>
              </w:rPr>
              <w:t xml:space="preserve"> d</w:t>
            </w:r>
            <w:r w:rsidRPr="00F8103D">
              <w:rPr>
                <w:rFonts w:ascii="Arial" w:hAnsi="Arial" w:cs="Arial"/>
              </w:rPr>
              <w:t>an Pemberdayaan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Nelayan, Pembudi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 xml:space="preserve">Daya Ikan, </w:t>
            </w:r>
            <w:r w:rsidR="00FF5653">
              <w:rPr>
                <w:rFonts w:ascii="Arial" w:hAnsi="Arial" w:cs="Arial"/>
              </w:rPr>
              <w:t>d</w:t>
            </w:r>
            <w:r w:rsidRPr="00F8103D">
              <w:rPr>
                <w:rFonts w:ascii="Arial" w:hAnsi="Arial" w:cs="Arial"/>
              </w:rPr>
              <w:t>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Petambak Garam</w:t>
            </w:r>
          </w:p>
        </w:tc>
        <w:tc>
          <w:tcPr>
            <w:tcW w:w="5216" w:type="dxa"/>
          </w:tcPr>
          <w:p w14:paraId="369CE3CC" w14:textId="77777777" w:rsidR="00F8103D" w:rsidRPr="00F8103D" w:rsidRDefault="00F8103D" w:rsidP="00F8103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Pasal 41</w:t>
            </w:r>
          </w:p>
          <w:p w14:paraId="07FD71A0" w14:textId="3DFFBC9F" w:rsidR="00F8103D" w:rsidRDefault="00F8103D" w:rsidP="00FF565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Pemerintah Pusat dan Pemerintah Daerah sesuai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dengan kewenangannya berkewajiban melakukan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fasilitasi dan memberikan bantuan hukum kepada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Nelayan, Pembudi Daya Ikan, dan Petambak Garam,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termasuk keluarga Nelayan dan Pembudi Daya Ikan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yang melakukan pengolahan dan pemasaran yang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mengalami permasalahan dalam menjalankan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usahanya sesuai dengan ketentuan peraturan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perundang-undangan.</w:t>
            </w:r>
          </w:p>
        </w:tc>
      </w:tr>
      <w:tr w:rsidR="00F8103D" w14:paraId="098A4AA9" w14:textId="77777777" w:rsidTr="00773EFC">
        <w:tc>
          <w:tcPr>
            <w:tcW w:w="846" w:type="dxa"/>
          </w:tcPr>
          <w:p w14:paraId="1DF78042" w14:textId="321C7649" w:rsidR="00F8103D" w:rsidRDefault="00FF5653" w:rsidP="00FF5653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005" w:type="dxa"/>
          </w:tcPr>
          <w:p w14:paraId="3B001907" w14:textId="73F131A3" w:rsidR="00F8103D" w:rsidRDefault="00F8103D" w:rsidP="00FF565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UU No. 18/2017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tentang Perlindungan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Pekerja Migran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Indonesia</w:t>
            </w:r>
          </w:p>
        </w:tc>
        <w:tc>
          <w:tcPr>
            <w:tcW w:w="5216" w:type="dxa"/>
          </w:tcPr>
          <w:p w14:paraId="6222FB64" w14:textId="77777777" w:rsidR="00F8103D" w:rsidRPr="00F8103D" w:rsidRDefault="00F8103D" w:rsidP="00F8103D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Pasal 6 ayat (1) huruf g</w:t>
            </w:r>
          </w:p>
          <w:p w14:paraId="0DCCEC1A" w14:textId="1717C29D" w:rsidR="00F8103D" w:rsidRDefault="00F8103D" w:rsidP="00FF5653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F8103D">
              <w:rPr>
                <w:rFonts w:ascii="Arial" w:hAnsi="Arial" w:cs="Arial"/>
              </w:rPr>
              <w:t>Bahwa salah satu hak pekerja migran adalah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"memperoleh pelindungan dan bantuan hukum atas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tindakan yang dapat merendahkan harkat dan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martabat sesuai dengan ketentuan peraturan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perundang-undangan di Indonesia dan di negara</w:t>
            </w:r>
            <w:r w:rsidR="00FF5653">
              <w:rPr>
                <w:rFonts w:ascii="Arial" w:hAnsi="Arial" w:cs="Arial"/>
              </w:rPr>
              <w:t xml:space="preserve"> </w:t>
            </w:r>
            <w:r w:rsidRPr="00F8103D">
              <w:rPr>
                <w:rFonts w:ascii="Arial" w:hAnsi="Arial" w:cs="Arial"/>
              </w:rPr>
              <w:t>tujuan penempatan".</w:t>
            </w:r>
          </w:p>
        </w:tc>
      </w:tr>
    </w:tbl>
    <w:p w14:paraId="6A05D86C" w14:textId="08F29A33" w:rsidR="00773EFC" w:rsidRDefault="00773EFC" w:rsidP="00773EFC">
      <w:pPr>
        <w:spacing w:after="0" w:line="360" w:lineRule="auto"/>
        <w:jc w:val="both"/>
        <w:rPr>
          <w:rFonts w:ascii="Arial" w:hAnsi="Arial" w:cs="Arial"/>
        </w:rPr>
      </w:pPr>
    </w:p>
    <w:p w14:paraId="5E125B89" w14:textId="014E7BC7" w:rsidR="00FF5653" w:rsidRDefault="00FF5653" w:rsidP="00773EFC">
      <w:pPr>
        <w:spacing w:after="0" w:line="360" w:lineRule="auto"/>
        <w:jc w:val="both"/>
        <w:rPr>
          <w:rFonts w:ascii="Arial" w:hAnsi="Arial" w:cs="Arial"/>
        </w:rPr>
      </w:pPr>
    </w:p>
    <w:p w14:paraId="3AEF2F13" w14:textId="04EDC512" w:rsidR="00FF5653" w:rsidRDefault="00FF5653" w:rsidP="00773EFC">
      <w:pPr>
        <w:spacing w:after="0" w:line="360" w:lineRule="auto"/>
        <w:jc w:val="both"/>
        <w:rPr>
          <w:rFonts w:ascii="Arial" w:hAnsi="Arial" w:cs="Arial"/>
        </w:rPr>
      </w:pPr>
    </w:p>
    <w:p w14:paraId="30AE0853" w14:textId="1F822841" w:rsidR="00FF5653" w:rsidRDefault="00FF5653" w:rsidP="00773EFC">
      <w:pPr>
        <w:spacing w:after="0" w:line="360" w:lineRule="auto"/>
        <w:jc w:val="both"/>
        <w:rPr>
          <w:rFonts w:ascii="Arial" w:hAnsi="Arial" w:cs="Arial"/>
        </w:rPr>
      </w:pPr>
    </w:p>
    <w:p w14:paraId="5F4EFFC2" w14:textId="74B68D84" w:rsidR="00FF5653" w:rsidRDefault="00FF5653" w:rsidP="00773EFC">
      <w:pPr>
        <w:spacing w:after="0" w:line="360" w:lineRule="auto"/>
        <w:jc w:val="both"/>
        <w:rPr>
          <w:rFonts w:ascii="Arial" w:hAnsi="Arial" w:cs="Arial"/>
        </w:rPr>
      </w:pPr>
    </w:p>
    <w:p w14:paraId="1A5FEB34" w14:textId="6CCEF33E" w:rsidR="00FF5653" w:rsidRDefault="00FF5653" w:rsidP="00773EFC">
      <w:pPr>
        <w:spacing w:after="0" w:line="360" w:lineRule="auto"/>
        <w:jc w:val="both"/>
        <w:rPr>
          <w:rFonts w:ascii="Arial" w:hAnsi="Arial" w:cs="Arial"/>
        </w:rPr>
      </w:pPr>
    </w:p>
    <w:p w14:paraId="5A568B0E" w14:textId="452189E7" w:rsidR="00FF5653" w:rsidRDefault="00FF5653" w:rsidP="00773EFC">
      <w:pPr>
        <w:spacing w:after="0" w:line="360" w:lineRule="auto"/>
        <w:jc w:val="both"/>
        <w:rPr>
          <w:rFonts w:ascii="Arial" w:hAnsi="Arial" w:cs="Arial"/>
        </w:rPr>
      </w:pPr>
    </w:p>
    <w:p w14:paraId="32B43963" w14:textId="470A55F8" w:rsidR="00FF5653" w:rsidRDefault="00FF5653" w:rsidP="00773EFC">
      <w:pPr>
        <w:spacing w:after="0" w:line="360" w:lineRule="auto"/>
        <w:jc w:val="both"/>
        <w:rPr>
          <w:rFonts w:ascii="Arial" w:hAnsi="Arial" w:cs="Arial"/>
        </w:rPr>
      </w:pPr>
    </w:p>
    <w:p w14:paraId="7290DE1D" w14:textId="3AA5E244" w:rsidR="00FF5653" w:rsidRDefault="00FF5653" w:rsidP="00773EFC">
      <w:pPr>
        <w:spacing w:after="0" w:line="360" w:lineRule="auto"/>
        <w:jc w:val="both"/>
        <w:rPr>
          <w:rFonts w:ascii="Arial" w:hAnsi="Arial" w:cs="Arial"/>
        </w:rPr>
      </w:pPr>
    </w:p>
    <w:p w14:paraId="08E61B8E" w14:textId="7EBBC9AF" w:rsidR="00FF5653" w:rsidRDefault="00FF5653" w:rsidP="00773EFC">
      <w:pPr>
        <w:spacing w:after="0" w:line="360" w:lineRule="auto"/>
        <w:jc w:val="both"/>
        <w:rPr>
          <w:rFonts w:ascii="Arial" w:hAnsi="Arial" w:cs="Arial"/>
        </w:rPr>
      </w:pPr>
    </w:p>
    <w:p w14:paraId="05353A23" w14:textId="3B872DB2" w:rsidR="00FF5653" w:rsidRDefault="00FF5653" w:rsidP="00773EFC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FF5653">
        <w:rPr>
          <w:rFonts w:ascii="Arial" w:hAnsi="Arial" w:cs="Arial"/>
          <w:b/>
          <w:bCs/>
        </w:rPr>
        <w:t>DOKUMENTASI WORKSHOP</w:t>
      </w:r>
    </w:p>
    <w:p w14:paraId="051328D5" w14:textId="4B121505" w:rsidR="00FF5653" w:rsidRDefault="00FF5653" w:rsidP="00773EF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0FBD5003" w14:textId="6CB34BD8" w:rsidR="00FF5653" w:rsidRDefault="00FF5653" w:rsidP="00773EF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36790B03" w14:textId="77777777" w:rsidR="00FF5653" w:rsidRDefault="00FF5653" w:rsidP="00773EFC">
      <w:pPr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0030D351" wp14:editId="01A0FE0B">
            <wp:extent cx="5731510" cy="3218180"/>
            <wp:effectExtent l="0" t="0" r="2540" b="127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1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2B0BD" w14:textId="77777777" w:rsidR="00FF5653" w:rsidRDefault="00FF5653" w:rsidP="00773EF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16FCD94B" w14:textId="77777777" w:rsidR="00FF5653" w:rsidRDefault="00FF5653" w:rsidP="00773EF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3571859F" w14:textId="7FB3276F" w:rsidR="00FF5653" w:rsidRDefault="00FF5653" w:rsidP="00773EFC">
      <w:pPr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6C277A61" wp14:editId="28BF7BEA">
            <wp:extent cx="5731510" cy="3218180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1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804DC2" w14:textId="6333F2A7" w:rsidR="00FF5653" w:rsidRDefault="00FF5653" w:rsidP="00773EF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54657FA2" w14:textId="54DE42DE" w:rsidR="00FF5653" w:rsidRDefault="00FF5653" w:rsidP="00773EF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14:paraId="6DB81065" w14:textId="77777777" w:rsidR="00FF5653" w:rsidRPr="00FF5653" w:rsidRDefault="00FF5653" w:rsidP="00773EFC">
      <w:pPr>
        <w:spacing w:after="0" w:line="360" w:lineRule="auto"/>
        <w:jc w:val="both"/>
        <w:rPr>
          <w:rFonts w:ascii="Arial" w:hAnsi="Arial" w:cs="Arial"/>
          <w:b/>
          <w:bCs/>
        </w:rPr>
      </w:pPr>
    </w:p>
    <w:sectPr w:rsidR="00FF5653" w:rsidRPr="00FF56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396D9" w14:textId="77777777" w:rsidR="00A146B6" w:rsidRDefault="00A146B6" w:rsidP="00157BAF">
      <w:pPr>
        <w:spacing w:after="0" w:line="240" w:lineRule="auto"/>
      </w:pPr>
      <w:r>
        <w:separator/>
      </w:r>
    </w:p>
  </w:endnote>
  <w:endnote w:type="continuationSeparator" w:id="0">
    <w:p w14:paraId="1415BF22" w14:textId="77777777" w:rsidR="00A146B6" w:rsidRDefault="00A146B6" w:rsidP="00157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F2134" w14:textId="77777777" w:rsidR="00A146B6" w:rsidRDefault="00A146B6" w:rsidP="00157BAF">
      <w:pPr>
        <w:spacing w:after="0" w:line="240" w:lineRule="auto"/>
      </w:pPr>
      <w:r>
        <w:separator/>
      </w:r>
    </w:p>
  </w:footnote>
  <w:footnote w:type="continuationSeparator" w:id="0">
    <w:p w14:paraId="7D566135" w14:textId="77777777" w:rsidR="00A146B6" w:rsidRDefault="00A146B6" w:rsidP="00157BAF">
      <w:pPr>
        <w:spacing w:after="0" w:line="240" w:lineRule="auto"/>
      </w:pPr>
      <w:r>
        <w:continuationSeparator/>
      </w:r>
    </w:p>
  </w:footnote>
  <w:footnote w:id="1">
    <w:p w14:paraId="7E89CD53" w14:textId="2D975359" w:rsidR="00157BAF" w:rsidRPr="00DF1393" w:rsidRDefault="00157BAF">
      <w:pPr>
        <w:pStyle w:val="TeksCatatanKaki"/>
        <w:rPr>
          <w:rFonts w:ascii="Arial" w:hAnsi="Arial" w:cs="Arial"/>
        </w:rPr>
      </w:pPr>
      <w:r w:rsidRPr="00DF1393">
        <w:rPr>
          <w:rStyle w:val="ReferensiCatatanKaki"/>
          <w:rFonts w:ascii="Arial" w:hAnsi="Arial" w:cs="Arial"/>
        </w:rPr>
        <w:footnoteRef/>
      </w:r>
      <w:r w:rsidRPr="00DF1393">
        <w:rPr>
          <w:rFonts w:ascii="Arial" w:hAnsi="Arial" w:cs="Arial"/>
        </w:rPr>
        <w:t xml:space="preserve"> </w:t>
      </w:r>
      <w:r w:rsidR="00B94CF2" w:rsidRPr="00DF1393">
        <w:rPr>
          <w:rFonts w:ascii="Arial" w:hAnsi="Arial" w:cs="Arial"/>
        </w:rPr>
        <w:t>Pasal 13 UN Principles and Guidelines on Access to Legal Aid in Criminal Justice Systems 2012</w:t>
      </w:r>
    </w:p>
  </w:footnote>
  <w:footnote w:id="2">
    <w:p w14:paraId="0E02C32F" w14:textId="2EE83E57" w:rsidR="00B94CF2" w:rsidRPr="00DF1393" w:rsidRDefault="00B94CF2" w:rsidP="00884A66">
      <w:pPr>
        <w:pStyle w:val="TeksCatatanKaki"/>
        <w:jc w:val="both"/>
        <w:rPr>
          <w:rFonts w:ascii="Arial" w:hAnsi="Arial" w:cs="Arial"/>
        </w:rPr>
      </w:pPr>
      <w:r w:rsidRPr="00DF1393">
        <w:rPr>
          <w:rStyle w:val="ReferensiCatatanKaki"/>
          <w:rFonts w:ascii="Arial" w:hAnsi="Arial" w:cs="Arial"/>
        </w:rPr>
        <w:footnoteRef/>
      </w:r>
      <w:r w:rsidRPr="00DF1393">
        <w:rPr>
          <w:rFonts w:ascii="Arial" w:hAnsi="Arial" w:cs="Arial"/>
        </w:rPr>
        <w:t xml:space="preserve"> “...Setiap orang yang ditangkap, ditahan, dan dituntut karena disangka melakukan sesuatu tindak</w:t>
      </w:r>
      <w:r w:rsidR="00884A66" w:rsidRPr="00DF1393">
        <w:rPr>
          <w:rFonts w:ascii="Arial" w:hAnsi="Arial" w:cs="Arial"/>
        </w:rPr>
        <w:t xml:space="preserve"> </w:t>
      </w:r>
      <w:r w:rsidRPr="00DF1393">
        <w:rPr>
          <w:rFonts w:ascii="Arial" w:hAnsi="Arial" w:cs="Arial"/>
        </w:rPr>
        <w:t>pidana berhak dianggap tidak bersalah, sampai dibuktikan kesalahannya secara sah dalam suatu</w:t>
      </w:r>
      <w:r w:rsidR="00884A66" w:rsidRPr="00DF1393">
        <w:rPr>
          <w:rFonts w:ascii="Arial" w:hAnsi="Arial" w:cs="Arial"/>
        </w:rPr>
        <w:t xml:space="preserve"> </w:t>
      </w:r>
      <w:r w:rsidRPr="00DF1393">
        <w:rPr>
          <w:rFonts w:ascii="Arial" w:hAnsi="Arial" w:cs="Arial"/>
        </w:rPr>
        <w:t>sidang pengadilan dan diberikan segala jaminan hukum yang diperlukan untuk pembelaannya, sesuai</w:t>
      </w:r>
    </w:p>
    <w:p w14:paraId="589BB519" w14:textId="4B8262D3" w:rsidR="00B94CF2" w:rsidRPr="00DF1393" w:rsidRDefault="00B94CF2" w:rsidP="00884A66">
      <w:pPr>
        <w:pStyle w:val="TeksCatatanKaki"/>
        <w:jc w:val="both"/>
        <w:rPr>
          <w:rFonts w:ascii="Arial" w:hAnsi="Arial" w:cs="Arial"/>
        </w:rPr>
      </w:pPr>
      <w:r w:rsidRPr="00DF1393">
        <w:rPr>
          <w:rFonts w:ascii="Arial" w:hAnsi="Arial" w:cs="Arial"/>
        </w:rPr>
        <w:t>dengan ketentuan peraturan perundang-undangan. Setiap orang yang diperiksa berhak</w:t>
      </w:r>
      <w:r w:rsidR="00884A66" w:rsidRPr="00DF1393">
        <w:rPr>
          <w:rFonts w:ascii="Arial" w:hAnsi="Arial" w:cs="Arial"/>
        </w:rPr>
        <w:t xml:space="preserve"> </w:t>
      </w:r>
      <w:r w:rsidRPr="00DF1393">
        <w:rPr>
          <w:rFonts w:ascii="Arial" w:hAnsi="Arial" w:cs="Arial"/>
        </w:rPr>
        <w:t>mendapatkan bantuan hukum sejak saat penyidikan sampai adanya putusan pengadilan yang telah</w:t>
      </w:r>
      <w:r w:rsidR="00884A66" w:rsidRPr="00DF1393">
        <w:rPr>
          <w:rFonts w:ascii="Arial" w:hAnsi="Arial" w:cs="Arial"/>
        </w:rPr>
        <w:t xml:space="preserve"> </w:t>
      </w:r>
      <w:r w:rsidRPr="00DF1393">
        <w:rPr>
          <w:rFonts w:ascii="Arial" w:hAnsi="Arial" w:cs="Arial"/>
        </w:rPr>
        <w:t>memperoleh kekuatan hukum tetap...”.</w:t>
      </w:r>
    </w:p>
  </w:footnote>
  <w:footnote w:id="3">
    <w:p w14:paraId="16E66265" w14:textId="358DE83B" w:rsidR="00DF1393" w:rsidRPr="00DF1393" w:rsidRDefault="00DF1393" w:rsidP="00DF1393">
      <w:pPr>
        <w:pStyle w:val="TeksCatatanKaki"/>
        <w:jc w:val="both"/>
        <w:rPr>
          <w:rFonts w:ascii="Arial" w:hAnsi="Arial" w:cs="Arial"/>
        </w:rPr>
      </w:pPr>
      <w:r w:rsidRPr="00DF1393">
        <w:rPr>
          <w:rStyle w:val="ReferensiCatatanKaki"/>
          <w:rFonts w:ascii="Arial" w:hAnsi="Arial" w:cs="Arial"/>
        </w:rPr>
        <w:footnoteRef/>
      </w:r>
      <w:r w:rsidRPr="00DF1393">
        <w:rPr>
          <w:rFonts w:ascii="Arial" w:hAnsi="Arial" w:cs="Arial"/>
        </w:rPr>
        <w:t xml:space="preserve"> Merujuk pada ketentuan Pasal 56 KUHAP, bantuan hukum juga wajib diberikan kepada Tersangka</w:t>
      </w:r>
      <w:r>
        <w:rPr>
          <w:rFonts w:ascii="Arial" w:hAnsi="Arial" w:cs="Arial"/>
        </w:rPr>
        <w:t xml:space="preserve"> </w:t>
      </w:r>
      <w:r w:rsidRPr="00DF1393">
        <w:rPr>
          <w:rFonts w:ascii="Arial" w:hAnsi="Arial" w:cs="Arial"/>
        </w:rPr>
        <w:t>atau Terdakwa yang diancam dengan pidana mati atau ancaman pidana lima belas tahun atau lebih.</w:t>
      </w:r>
      <w:r>
        <w:rPr>
          <w:rFonts w:ascii="Arial" w:hAnsi="Arial" w:cs="Arial"/>
        </w:rPr>
        <w:t xml:space="preserve"> </w:t>
      </w:r>
      <w:r w:rsidRPr="00DF1393">
        <w:rPr>
          <w:rFonts w:ascii="Arial" w:hAnsi="Arial" w:cs="Arial"/>
        </w:rPr>
        <w:t>Pada prakteknya penyidik, penutut umum dan hakim sebelum dilakukannya proses pemeriksaan</w:t>
      </w:r>
      <w:r>
        <w:rPr>
          <w:rFonts w:ascii="Arial" w:hAnsi="Arial" w:cs="Arial"/>
        </w:rPr>
        <w:t xml:space="preserve"> </w:t>
      </w:r>
      <w:r w:rsidRPr="00DF1393">
        <w:rPr>
          <w:rFonts w:ascii="Arial" w:hAnsi="Arial" w:cs="Arial"/>
        </w:rPr>
        <w:t>akan menunjuk penasehat hukum untuk mendampingi Tersangka atau Terdakwa bila mereka belum</w:t>
      </w:r>
      <w:r>
        <w:rPr>
          <w:rFonts w:ascii="Arial" w:hAnsi="Arial" w:cs="Arial"/>
        </w:rPr>
        <w:t xml:space="preserve"> </w:t>
      </w:r>
      <w:r w:rsidRPr="00DF1393">
        <w:rPr>
          <w:rFonts w:ascii="Arial" w:hAnsi="Arial" w:cs="Arial"/>
        </w:rPr>
        <w:t>memiliki penasehat hukum, ancaman hukuman yang tinggi menjadi faktor seseorang untuk wajib</w:t>
      </w:r>
      <w:r>
        <w:rPr>
          <w:rFonts w:ascii="Arial" w:hAnsi="Arial" w:cs="Arial"/>
        </w:rPr>
        <w:t xml:space="preserve"> </w:t>
      </w:r>
      <w:r w:rsidRPr="00DF1393">
        <w:rPr>
          <w:rFonts w:ascii="Arial" w:hAnsi="Arial" w:cs="Arial"/>
        </w:rPr>
        <w:t>didampingi penasehat hukum selain faktor ketidakmampuan. Pada prakteknya organisasi bantuan</w:t>
      </w:r>
      <w:r>
        <w:rPr>
          <w:rFonts w:ascii="Arial" w:hAnsi="Arial" w:cs="Arial"/>
        </w:rPr>
        <w:t xml:space="preserve"> </w:t>
      </w:r>
      <w:r w:rsidRPr="00DF1393">
        <w:rPr>
          <w:rFonts w:ascii="Arial" w:hAnsi="Arial" w:cs="Arial"/>
        </w:rPr>
        <w:t>hukum yang ditunjuk untuk melakukan pendampingan dapat menggunakan surat penunjukan dari</w:t>
      </w:r>
      <w:r>
        <w:rPr>
          <w:rFonts w:ascii="Arial" w:hAnsi="Arial" w:cs="Arial"/>
        </w:rPr>
        <w:t xml:space="preserve"> </w:t>
      </w:r>
      <w:r w:rsidRPr="00DF1393">
        <w:rPr>
          <w:rFonts w:ascii="Arial" w:hAnsi="Arial" w:cs="Arial"/>
        </w:rPr>
        <w:t>Penyidik, penutut umum dan hakim untuk menggantikan surat keterangan tidak mampu.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F3B50"/>
    <w:multiLevelType w:val="hybridMultilevel"/>
    <w:tmpl w:val="353CD0E6"/>
    <w:lvl w:ilvl="0" w:tplc="3809000F">
      <w:start w:val="1"/>
      <w:numFmt w:val="decimal"/>
      <w:lvlText w:val="%1."/>
      <w:lvlJc w:val="left"/>
      <w:pPr>
        <w:ind w:left="1287" w:hanging="360"/>
      </w:pPr>
    </w:lvl>
    <w:lvl w:ilvl="1" w:tplc="38090019" w:tentative="1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231144E"/>
    <w:multiLevelType w:val="hybridMultilevel"/>
    <w:tmpl w:val="9FA4F9DE"/>
    <w:lvl w:ilvl="0" w:tplc="4DE009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60A4308"/>
    <w:multiLevelType w:val="hybridMultilevel"/>
    <w:tmpl w:val="93DE3F42"/>
    <w:lvl w:ilvl="0" w:tplc="3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25FE4"/>
    <w:multiLevelType w:val="hybridMultilevel"/>
    <w:tmpl w:val="9AA8CBD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16295"/>
    <w:multiLevelType w:val="hybridMultilevel"/>
    <w:tmpl w:val="F6D840B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90925"/>
    <w:multiLevelType w:val="hybridMultilevel"/>
    <w:tmpl w:val="FB86DF96"/>
    <w:lvl w:ilvl="0" w:tplc="3574E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C78CF"/>
    <w:multiLevelType w:val="hybridMultilevel"/>
    <w:tmpl w:val="5C9AEF32"/>
    <w:lvl w:ilvl="0" w:tplc="3574E9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71259F"/>
    <w:multiLevelType w:val="hybridMultilevel"/>
    <w:tmpl w:val="7B96C498"/>
    <w:lvl w:ilvl="0" w:tplc="599055EA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789" w:hanging="360"/>
      </w:pPr>
    </w:lvl>
    <w:lvl w:ilvl="2" w:tplc="3809001B" w:tentative="1">
      <w:start w:val="1"/>
      <w:numFmt w:val="lowerRoman"/>
      <w:lvlText w:val="%3."/>
      <w:lvlJc w:val="right"/>
      <w:pPr>
        <w:ind w:left="2509" w:hanging="180"/>
      </w:pPr>
    </w:lvl>
    <w:lvl w:ilvl="3" w:tplc="3809000F" w:tentative="1">
      <w:start w:val="1"/>
      <w:numFmt w:val="decimal"/>
      <w:lvlText w:val="%4."/>
      <w:lvlJc w:val="left"/>
      <w:pPr>
        <w:ind w:left="3229" w:hanging="360"/>
      </w:pPr>
    </w:lvl>
    <w:lvl w:ilvl="4" w:tplc="38090019" w:tentative="1">
      <w:start w:val="1"/>
      <w:numFmt w:val="lowerLetter"/>
      <w:lvlText w:val="%5."/>
      <w:lvlJc w:val="left"/>
      <w:pPr>
        <w:ind w:left="3949" w:hanging="360"/>
      </w:pPr>
    </w:lvl>
    <w:lvl w:ilvl="5" w:tplc="3809001B" w:tentative="1">
      <w:start w:val="1"/>
      <w:numFmt w:val="lowerRoman"/>
      <w:lvlText w:val="%6."/>
      <w:lvlJc w:val="right"/>
      <w:pPr>
        <w:ind w:left="4669" w:hanging="180"/>
      </w:pPr>
    </w:lvl>
    <w:lvl w:ilvl="6" w:tplc="3809000F" w:tentative="1">
      <w:start w:val="1"/>
      <w:numFmt w:val="decimal"/>
      <w:lvlText w:val="%7."/>
      <w:lvlJc w:val="left"/>
      <w:pPr>
        <w:ind w:left="5389" w:hanging="360"/>
      </w:pPr>
    </w:lvl>
    <w:lvl w:ilvl="7" w:tplc="38090019" w:tentative="1">
      <w:start w:val="1"/>
      <w:numFmt w:val="lowerLetter"/>
      <w:lvlText w:val="%8."/>
      <w:lvlJc w:val="left"/>
      <w:pPr>
        <w:ind w:left="6109" w:hanging="360"/>
      </w:pPr>
    </w:lvl>
    <w:lvl w:ilvl="8" w:tplc="3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C712604"/>
    <w:multiLevelType w:val="hybridMultilevel"/>
    <w:tmpl w:val="2B56CB0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503F5"/>
    <w:multiLevelType w:val="hybridMultilevel"/>
    <w:tmpl w:val="DA162A34"/>
    <w:lvl w:ilvl="0" w:tplc="3809000F">
      <w:start w:val="1"/>
      <w:numFmt w:val="decimal"/>
      <w:lvlText w:val="%1."/>
      <w:lvlJc w:val="left"/>
      <w:pPr>
        <w:ind w:left="1146" w:hanging="360"/>
      </w:pPr>
    </w:lvl>
    <w:lvl w:ilvl="1" w:tplc="38090019" w:tentative="1">
      <w:start w:val="1"/>
      <w:numFmt w:val="lowerLetter"/>
      <w:lvlText w:val="%2."/>
      <w:lvlJc w:val="left"/>
      <w:pPr>
        <w:ind w:left="1866" w:hanging="360"/>
      </w:pPr>
    </w:lvl>
    <w:lvl w:ilvl="2" w:tplc="3809001B" w:tentative="1">
      <w:start w:val="1"/>
      <w:numFmt w:val="lowerRoman"/>
      <w:lvlText w:val="%3."/>
      <w:lvlJc w:val="right"/>
      <w:pPr>
        <w:ind w:left="2586" w:hanging="180"/>
      </w:pPr>
    </w:lvl>
    <w:lvl w:ilvl="3" w:tplc="3809000F" w:tentative="1">
      <w:start w:val="1"/>
      <w:numFmt w:val="decimal"/>
      <w:lvlText w:val="%4."/>
      <w:lvlJc w:val="left"/>
      <w:pPr>
        <w:ind w:left="3306" w:hanging="360"/>
      </w:pPr>
    </w:lvl>
    <w:lvl w:ilvl="4" w:tplc="38090019" w:tentative="1">
      <w:start w:val="1"/>
      <w:numFmt w:val="lowerLetter"/>
      <w:lvlText w:val="%5."/>
      <w:lvlJc w:val="left"/>
      <w:pPr>
        <w:ind w:left="4026" w:hanging="360"/>
      </w:pPr>
    </w:lvl>
    <w:lvl w:ilvl="5" w:tplc="3809001B" w:tentative="1">
      <w:start w:val="1"/>
      <w:numFmt w:val="lowerRoman"/>
      <w:lvlText w:val="%6."/>
      <w:lvlJc w:val="right"/>
      <w:pPr>
        <w:ind w:left="4746" w:hanging="180"/>
      </w:pPr>
    </w:lvl>
    <w:lvl w:ilvl="6" w:tplc="3809000F" w:tentative="1">
      <w:start w:val="1"/>
      <w:numFmt w:val="decimal"/>
      <w:lvlText w:val="%7."/>
      <w:lvlJc w:val="left"/>
      <w:pPr>
        <w:ind w:left="5466" w:hanging="360"/>
      </w:pPr>
    </w:lvl>
    <w:lvl w:ilvl="7" w:tplc="38090019" w:tentative="1">
      <w:start w:val="1"/>
      <w:numFmt w:val="lowerLetter"/>
      <w:lvlText w:val="%8."/>
      <w:lvlJc w:val="left"/>
      <w:pPr>
        <w:ind w:left="6186" w:hanging="360"/>
      </w:pPr>
    </w:lvl>
    <w:lvl w:ilvl="8" w:tplc="3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59F2766"/>
    <w:multiLevelType w:val="hybridMultilevel"/>
    <w:tmpl w:val="3818508E"/>
    <w:lvl w:ilvl="0" w:tplc="38090019">
      <w:start w:val="1"/>
      <w:numFmt w:val="lowerLetter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70046F"/>
    <w:multiLevelType w:val="hybridMultilevel"/>
    <w:tmpl w:val="2DF42F7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4E34CB"/>
    <w:multiLevelType w:val="hybridMultilevel"/>
    <w:tmpl w:val="F98042B4"/>
    <w:lvl w:ilvl="0" w:tplc="6B02CD1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1383016">
      <w:start w:val="1"/>
      <w:numFmt w:val="lowerLetter"/>
      <w:lvlText w:val="%2."/>
      <w:lvlJc w:val="left"/>
      <w:pPr>
        <w:ind w:left="1647" w:hanging="360"/>
      </w:pPr>
      <w:rPr>
        <w:rFonts w:hint="default"/>
      </w:r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1497091"/>
    <w:multiLevelType w:val="hybridMultilevel"/>
    <w:tmpl w:val="57A858DA"/>
    <w:lvl w:ilvl="0" w:tplc="3809000F">
      <w:start w:val="1"/>
      <w:numFmt w:val="decimal"/>
      <w:lvlText w:val="%1."/>
      <w:lvlJc w:val="left"/>
      <w:pPr>
        <w:ind w:left="1429" w:hanging="360"/>
      </w:pPr>
    </w:lvl>
    <w:lvl w:ilvl="1" w:tplc="38090019" w:tentative="1">
      <w:start w:val="1"/>
      <w:numFmt w:val="lowerLetter"/>
      <w:lvlText w:val="%2."/>
      <w:lvlJc w:val="left"/>
      <w:pPr>
        <w:ind w:left="2149" w:hanging="360"/>
      </w:pPr>
    </w:lvl>
    <w:lvl w:ilvl="2" w:tplc="3809001B" w:tentative="1">
      <w:start w:val="1"/>
      <w:numFmt w:val="lowerRoman"/>
      <w:lvlText w:val="%3."/>
      <w:lvlJc w:val="right"/>
      <w:pPr>
        <w:ind w:left="2869" w:hanging="180"/>
      </w:pPr>
    </w:lvl>
    <w:lvl w:ilvl="3" w:tplc="3809000F" w:tentative="1">
      <w:start w:val="1"/>
      <w:numFmt w:val="decimal"/>
      <w:lvlText w:val="%4."/>
      <w:lvlJc w:val="left"/>
      <w:pPr>
        <w:ind w:left="3589" w:hanging="360"/>
      </w:pPr>
    </w:lvl>
    <w:lvl w:ilvl="4" w:tplc="38090019" w:tentative="1">
      <w:start w:val="1"/>
      <w:numFmt w:val="lowerLetter"/>
      <w:lvlText w:val="%5."/>
      <w:lvlJc w:val="left"/>
      <w:pPr>
        <w:ind w:left="4309" w:hanging="360"/>
      </w:pPr>
    </w:lvl>
    <w:lvl w:ilvl="5" w:tplc="3809001B" w:tentative="1">
      <w:start w:val="1"/>
      <w:numFmt w:val="lowerRoman"/>
      <w:lvlText w:val="%6."/>
      <w:lvlJc w:val="right"/>
      <w:pPr>
        <w:ind w:left="5029" w:hanging="180"/>
      </w:pPr>
    </w:lvl>
    <w:lvl w:ilvl="6" w:tplc="3809000F" w:tentative="1">
      <w:start w:val="1"/>
      <w:numFmt w:val="decimal"/>
      <w:lvlText w:val="%7."/>
      <w:lvlJc w:val="left"/>
      <w:pPr>
        <w:ind w:left="5749" w:hanging="360"/>
      </w:pPr>
    </w:lvl>
    <w:lvl w:ilvl="7" w:tplc="38090019" w:tentative="1">
      <w:start w:val="1"/>
      <w:numFmt w:val="lowerLetter"/>
      <w:lvlText w:val="%8."/>
      <w:lvlJc w:val="left"/>
      <w:pPr>
        <w:ind w:left="6469" w:hanging="360"/>
      </w:pPr>
    </w:lvl>
    <w:lvl w:ilvl="8" w:tplc="3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9644520"/>
    <w:multiLevelType w:val="hybridMultilevel"/>
    <w:tmpl w:val="3C34049E"/>
    <w:lvl w:ilvl="0" w:tplc="38090019">
      <w:start w:val="1"/>
      <w:numFmt w:val="lowerLetter"/>
      <w:lvlText w:val="%1."/>
      <w:lvlJc w:val="left"/>
      <w:pPr>
        <w:ind w:left="1287" w:hanging="360"/>
      </w:pPr>
    </w:lvl>
    <w:lvl w:ilvl="1" w:tplc="38090019">
      <w:start w:val="1"/>
      <w:numFmt w:val="lowerLetter"/>
      <w:lvlText w:val="%2."/>
      <w:lvlJc w:val="left"/>
      <w:pPr>
        <w:ind w:left="2007" w:hanging="360"/>
      </w:pPr>
    </w:lvl>
    <w:lvl w:ilvl="2" w:tplc="3809001B" w:tentative="1">
      <w:start w:val="1"/>
      <w:numFmt w:val="lowerRoman"/>
      <w:lvlText w:val="%3."/>
      <w:lvlJc w:val="right"/>
      <w:pPr>
        <w:ind w:left="2727" w:hanging="180"/>
      </w:pPr>
    </w:lvl>
    <w:lvl w:ilvl="3" w:tplc="3809000F" w:tentative="1">
      <w:start w:val="1"/>
      <w:numFmt w:val="decimal"/>
      <w:lvlText w:val="%4."/>
      <w:lvlJc w:val="left"/>
      <w:pPr>
        <w:ind w:left="3447" w:hanging="360"/>
      </w:pPr>
    </w:lvl>
    <w:lvl w:ilvl="4" w:tplc="38090019" w:tentative="1">
      <w:start w:val="1"/>
      <w:numFmt w:val="lowerLetter"/>
      <w:lvlText w:val="%5."/>
      <w:lvlJc w:val="left"/>
      <w:pPr>
        <w:ind w:left="4167" w:hanging="360"/>
      </w:pPr>
    </w:lvl>
    <w:lvl w:ilvl="5" w:tplc="3809001B" w:tentative="1">
      <w:start w:val="1"/>
      <w:numFmt w:val="lowerRoman"/>
      <w:lvlText w:val="%6."/>
      <w:lvlJc w:val="right"/>
      <w:pPr>
        <w:ind w:left="4887" w:hanging="180"/>
      </w:pPr>
    </w:lvl>
    <w:lvl w:ilvl="6" w:tplc="3809000F" w:tentative="1">
      <w:start w:val="1"/>
      <w:numFmt w:val="decimal"/>
      <w:lvlText w:val="%7."/>
      <w:lvlJc w:val="left"/>
      <w:pPr>
        <w:ind w:left="5607" w:hanging="360"/>
      </w:pPr>
    </w:lvl>
    <w:lvl w:ilvl="7" w:tplc="38090019" w:tentative="1">
      <w:start w:val="1"/>
      <w:numFmt w:val="lowerLetter"/>
      <w:lvlText w:val="%8."/>
      <w:lvlJc w:val="left"/>
      <w:pPr>
        <w:ind w:left="6327" w:hanging="360"/>
      </w:pPr>
    </w:lvl>
    <w:lvl w:ilvl="8" w:tplc="380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13"/>
  </w:num>
  <w:num w:numId="5">
    <w:abstractNumId w:val="6"/>
  </w:num>
  <w:num w:numId="6">
    <w:abstractNumId w:val="5"/>
  </w:num>
  <w:num w:numId="7">
    <w:abstractNumId w:val="4"/>
  </w:num>
  <w:num w:numId="8">
    <w:abstractNumId w:val="12"/>
  </w:num>
  <w:num w:numId="9">
    <w:abstractNumId w:val="14"/>
  </w:num>
  <w:num w:numId="10">
    <w:abstractNumId w:val="11"/>
  </w:num>
  <w:num w:numId="11">
    <w:abstractNumId w:val="0"/>
  </w:num>
  <w:num w:numId="12">
    <w:abstractNumId w:val="1"/>
  </w:num>
  <w:num w:numId="13">
    <w:abstractNumId w:val="10"/>
  </w:num>
  <w:num w:numId="14">
    <w:abstractNumId w:val="8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BFE"/>
    <w:rsid w:val="00157BAF"/>
    <w:rsid w:val="00171D59"/>
    <w:rsid w:val="002302F6"/>
    <w:rsid w:val="0024015D"/>
    <w:rsid w:val="0025451E"/>
    <w:rsid w:val="00285ADB"/>
    <w:rsid w:val="00377E5D"/>
    <w:rsid w:val="00403631"/>
    <w:rsid w:val="004511EC"/>
    <w:rsid w:val="00466DB6"/>
    <w:rsid w:val="0049092A"/>
    <w:rsid w:val="004D0403"/>
    <w:rsid w:val="0050798C"/>
    <w:rsid w:val="0051310D"/>
    <w:rsid w:val="0051352E"/>
    <w:rsid w:val="00536758"/>
    <w:rsid w:val="005B2EF5"/>
    <w:rsid w:val="006425C0"/>
    <w:rsid w:val="00654A58"/>
    <w:rsid w:val="006A1B44"/>
    <w:rsid w:val="006F498E"/>
    <w:rsid w:val="007117EE"/>
    <w:rsid w:val="00773EFC"/>
    <w:rsid w:val="007E1C50"/>
    <w:rsid w:val="007E31B1"/>
    <w:rsid w:val="007E7471"/>
    <w:rsid w:val="008008F0"/>
    <w:rsid w:val="008621D9"/>
    <w:rsid w:val="008747BC"/>
    <w:rsid w:val="00884A66"/>
    <w:rsid w:val="00910931"/>
    <w:rsid w:val="00940BFE"/>
    <w:rsid w:val="009A7C3E"/>
    <w:rsid w:val="009F5119"/>
    <w:rsid w:val="00A146B6"/>
    <w:rsid w:val="00A4215A"/>
    <w:rsid w:val="00AF74AB"/>
    <w:rsid w:val="00B01168"/>
    <w:rsid w:val="00B07AFB"/>
    <w:rsid w:val="00B94CF2"/>
    <w:rsid w:val="00C95BE8"/>
    <w:rsid w:val="00CA408A"/>
    <w:rsid w:val="00D242FB"/>
    <w:rsid w:val="00DA4F68"/>
    <w:rsid w:val="00DC5674"/>
    <w:rsid w:val="00DF1393"/>
    <w:rsid w:val="00DF56F8"/>
    <w:rsid w:val="00E063B3"/>
    <w:rsid w:val="00E638A8"/>
    <w:rsid w:val="00E93D58"/>
    <w:rsid w:val="00F55A80"/>
    <w:rsid w:val="00F62D9F"/>
    <w:rsid w:val="00F8103D"/>
    <w:rsid w:val="00FF0AD9"/>
    <w:rsid w:val="00FF3359"/>
    <w:rsid w:val="00FF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2911F"/>
  <w15:chartTrackingRefBased/>
  <w15:docId w15:val="{B954A190-4DBF-4AB2-A0F4-17ED0A11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466DB6"/>
    <w:pPr>
      <w:ind w:left="720"/>
      <w:contextualSpacing/>
    </w:pPr>
  </w:style>
  <w:style w:type="paragraph" w:styleId="TeksCatatanKaki">
    <w:name w:val="footnote text"/>
    <w:basedOn w:val="Normal"/>
    <w:link w:val="TeksCatatanKakiKAR"/>
    <w:uiPriority w:val="99"/>
    <w:semiHidden/>
    <w:unhideWhenUsed/>
    <w:rsid w:val="00157BAF"/>
    <w:pPr>
      <w:spacing w:after="0" w:line="240" w:lineRule="auto"/>
    </w:pPr>
    <w:rPr>
      <w:sz w:val="20"/>
      <w:szCs w:val="20"/>
    </w:rPr>
  </w:style>
  <w:style w:type="character" w:customStyle="1" w:styleId="TeksCatatanKakiKAR">
    <w:name w:val="Teks Catatan Kaki KAR"/>
    <w:basedOn w:val="FontParagrafDefault"/>
    <w:link w:val="TeksCatatanKaki"/>
    <w:uiPriority w:val="99"/>
    <w:semiHidden/>
    <w:rsid w:val="00157BAF"/>
    <w:rPr>
      <w:sz w:val="20"/>
      <w:szCs w:val="20"/>
    </w:rPr>
  </w:style>
  <w:style w:type="character" w:styleId="ReferensiCatatanKaki">
    <w:name w:val="footnote reference"/>
    <w:basedOn w:val="FontParagrafDefault"/>
    <w:uiPriority w:val="99"/>
    <w:semiHidden/>
    <w:unhideWhenUsed/>
    <w:rsid w:val="00157BAF"/>
    <w:rPr>
      <w:vertAlign w:val="superscript"/>
    </w:rPr>
  </w:style>
  <w:style w:type="table" w:styleId="KisiTabel">
    <w:name w:val="Table Grid"/>
    <w:basedOn w:val="TabelNormal"/>
    <w:uiPriority w:val="39"/>
    <w:rsid w:val="00773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820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0B374-E010-4EB7-BA90-849031423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2662</Words>
  <Characters>15177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indah</dc:creator>
  <cp:keywords/>
  <dc:description/>
  <cp:lastModifiedBy>valensa tendan</cp:lastModifiedBy>
  <cp:revision>2</cp:revision>
  <dcterms:created xsi:type="dcterms:W3CDTF">2021-12-08T09:01:00Z</dcterms:created>
  <dcterms:modified xsi:type="dcterms:W3CDTF">2021-12-08T09:01:00Z</dcterms:modified>
</cp:coreProperties>
</file>