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BBAAF" w14:textId="77777777" w:rsidR="00DF4AEC" w:rsidRDefault="001916CF">
      <w:pPr>
        <w:jc w:val="center"/>
        <w:rPr>
          <w:b/>
        </w:rPr>
      </w:pPr>
      <w:r>
        <w:rPr>
          <w:b/>
        </w:rPr>
        <w:t>Format Usulan Program RAN OGI VII 2023-2024</w:t>
      </w:r>
    </w:p>
    <w:p w14:paraId="1575A9D6" w14:textId="77777777" w:rsidR="00DF4AEC" w:rsidRDefault="00DF4AEC">
      <w:pPr>
        <w:jc w:val="center"/>
        <w:rPr>
          <w:b/>
        </w:rPr>
      </w:pPr>
    </w:p>
    <w:tbl>
      <w:tblPr>
        <w:tblStyle w:val="a9"/>
        <w:tblW w:w="9475" w:type="dxa"/>
        <w:tblInd w:w="-11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1702"/>
        <w:gridCol w:w="2591"/>
        <w:gridCol w:w="2591"/>
        <w:gridCol w:w="2591"/>
      </w:tblGrid>
      <w:tr w:rsidR="00DF4AEC" w14:paraId="3BA8C2A2" w14:textId="77777777">
        <w:tc>
          <w:tcPr>
            <w:tcW w:w="1702" w:type="dxa"/>
            <w:tcBorders>
              <w:top w:val="single" w:sz="4" w:space="0" w:color="000000"/>
              <w:left w:val="single" w:sz="4" w:space="0" w:color="000000"/>
              <w:bottom w:val="single" w:sz="4" w:space="0" w:color="000000"/>
              <w:right w:val="single" w:sz="4" w:space="0" w:color="000000"/>
            </w:tcBorders>
          </w:tcPr>
          <w:p w14:paraId="5E013D8C" w14:textId="77777777" w:rsidR="00DF4AEC" w:rsidRDefault="001916CF">
            <w:pPr>
              <w:spacing w:line="240" w:lineRule="auto"/>
              <w:rPr>
                <w:b/>
              </w:rPr>
            </w:pPr>
            <w:r>
              <w:rPr>
                <w:b/>
              </w:rPr>
              <w:t>Negara</w:t>
            </w:r>
          </w:p>
        </w:tc>
        <w:tc>
          <w:tcPr>
            <w:tcW w:w="7773" w:type="dxa"/>
            <w:gridSpan w:val="3"/>
            <w:tcBorders>
              <w:top w:val="single" w:sz="4" w:space="0" w:color="000000"/>
              <w:left w:val="single" w:sz="4" w:space="0" w:color="000000"/>
              <w:bottom w:val="single" w:sz="4" w:space="0" w:color="000000"/>
              <w:right w:val="single" w:sz="4" w:space="0" w:color="000000"/>
            </w:tcBorders>
          </w:tcPr>
          <w:p w14:paraId="70A316A6" w14:textId="77777777" w:rsidR="00DF4AEC" w:rsidRDefault="001916CF">
            <w:pPr>
              <w:spacing w:line="240" w:lineRule="auto"/>
            </w:pPr>
            <w:r>
              <w:t>Indonesia</w:t>
            </w:r>
          </w:p>
        </w:tc>
      </w:tr>
      <w:tr w:rsidR="00DF4AEC" w14:paraId="2C7D0988" w14:textId="77777777">
        <w:tc>
          <w:tcPr>
            <w:tcW w:w="1702" w:type="dxa"/>
            <w:tcBorders>
              <w:top w:val="single" w:sz="4" w:space="0" w:color="000000"/>
              <w:left w:val="single" w:sz="4" w:space="0" w:color="000000"/>
              <w:bottom w:val="single" w:sz="4" w:space="0" w:color="000000"/>
              <w:right w:val="single" w:sz="4" w:space="0" w:color="000000"/>
            </w:tcBorders>
          </w:tcPr>
          <w:p w14:paraId="543FA315" w14:textId="77777777" w:rsidR="00DF4AEC" w:rsidRDefault="001916CF">
            <w:pPr>
              <w:spacing w:line="240" w:lineRule="auto"/>
              <w:rPr>
                <w:b/>
              </w:rPr>
            </w:pPr>
            <w:r>
              <w:rPr>
                <w:b/>
              </w:rPr>
              <w:t>Nomor dan Nama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28603B7D" w14:textId="77777777" w:rsidR="00DF4AEC" w:rsidRDefault="001916CF">
            <w:pPr>
              <w:spacing w:line="240" w:lineRule="auto"/>
            </w:pPr>
            <w:r>
              <w:rPr>
                <w:rFonts w:ascii="Calibri" w:eastAsia="Calibri" w:hAnsi="Calibri" w:cs="Calibri"/>
                <w:b/>
                <w:sz w:val="26"/>
                <w:szCs w:val="26"/>
              </w:rPr>
              <w:t>18. Mekanisme Pemulihan Korban HAM di Aceh Dan RUU KKR Menjadi Prioritas Prolegnas</w:t>
            </w:r>
          </w:p>
          <w:p w14:paraId="0ED7029B" w14:textId="77777777" w:rsidR="00DF4AEC" w:rsidRDefault="00DF4AEC">
            <w:pPr>
              <w:spacing w:line="240" w:lineRule="auto"/>
            </w:pPr>
          </w:p>
          <w:p w14:paraId="698B9FC4" w14:textId="77777777" w:rsidR="00DF4AEC" w:rsidRDefault="00DF4AEC">
            <w:pPr>
              <w:spacing w:line="240" w:lineRule="auto"/>
            </w:pPr>
          </w:p>
        </w:tc>
      </w:tr>
      <w:tr w:rsidR="00DF4AEC" w14:paraId="51219111" w14:textId="77777777">
        <w:tc>
          <w:tcPr>
            <w:tcW w:w="1702" w:type="dxa"/>
            <w:tcBorders>
              <w:top w:val="single" w:sz="4" w:space="0" w:color="000000"/>
              <w:left w:val="single" w:sz="4" w:space="0" w:color="000000"/>
              <w:bottom w:val="single" w:sz="4" w:space="0" w:color="000000"/>
              <w:right w:val="single" w:sz="4" w:space="0" w:color="000000"/>
            </w:tcBorders>
          </w:tcPr>
          <w:p w14:paraId="53E36C63" w14:textId="77777777" w:rsidR="00DF4AEC" w:rsidRDefault="001916CF">
            <w:pPr>
              <w:spacing w:line="240" w:lineRule="auto"/>
              <w:rPr>
                <w:b/>
              </w:rPr>
            </w:pPr>
            <w:r>
              <w:rPr>
                <w:b/>
              </w:rPr>
              <w:t>Deskripsi Singkat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56C204D4" w14:textId="77777777" w:rsidR="00DF4AEC" w:rsidRDefault="001916CF">
            <w:pPr>
              <w:spacing w:line="240" w:lineRule="auto"/>
              <w:rPr>
                <w:i/>
                <w:color w:val="434343"/>
                <w:sz w:val="18"/>
                <w:szCs w:val="18"/>
              </w:rPr>
            </w:pPr>
            <w:r>
              <w:rPr>
                <w:i/>
                <w:color w:val="434343"/>
                <w:sz w:val="18"/>
                <w:szCs w:val="18"/>
              </w:rPr>
              <w:t>(Deskripsikan apa yang ingin dilakukan dan apa yang ingin dicapai melalui komitmen ini dengan kurang dari 200 karakter.)</w:t>
            </w:r>
          </w:p>
          <w:p w14:paraId="6C402450" w14:textId="77777777" w:rsidR="00DF4AEC" w:rsidRDefault="00DF4AEC">
            <w:pPr>
              <w:spacing w:line="240" w:lineRule="auto"/>
              <w:rPr>
                <w:i/>
                <w:color w:val="434343"/>
                <w:sz w:val="18"/>
                <w:szCs w:val="18"/>
              </w:rPr>
            </w:pPr>
          </w:p>
          <w:p w14:paraId="73BDEF18" w14:textId="7432D92A" w:rsidR="00DF4AEC" w:rsidRPr="00155A97" w:rsidRDefault="001916CF" w:rsidP="00E85655">
            <w:pPr>
              <w:spacing w:before="40" w:after="40" w:line="240" w:lineRule="auto"/>
              <w:jc w:val="both"/>
              <w:rPr>
                <w:i/>
                <w:color w:val="434343"/>
              </w:rPr>
            </w:pPr>
            <w:r w:rsidRPr="00155A97">
              <w:rPr>
                <w:i/>
                <w:color w:val="434343"/>
              </w:rPr>
              <w:t>Yang ingin dicapai adalah adanya Kebijakan Pemulihan Korban pelanggaran HAM di Aceh dan RUU KKR menjadi Prioritas Prolegnas. Saat ini belum ada kebijakan pemulihan korban pelanggaran HAM di Aceh</w:t>
            </w:r>
            <w:r w:rsidR="00E85655" w:rsidRPr="00155A97">
              <w:rPr>
                <w:i/>
                <w:color w:val="434343"/>
              </w:rPr>
              <w:t xml:space="preserve">, khususnya kepada </w:t>
            </w:r>
            <w:r w:rsidR="00E85655" w:rsidRPr="00155A97">
              <w:t xml:space="preserve">5.264 korban dan penyintas yang telah diambil pernyataanyan oleh KKR Aceh. </w:t>
            </w:r>
            <w:r w:rsidRPr="00155A97">
              <w:rPr>
                <w:i/>
                <w:color w:val="434343"/>
              </w:rPr>
              <w:t xml:space="preserve">Dengan </w:t>
            </w:r>
            <w:r w:rsidR="00E85655" w:rsidRPr="00155A97">
              <w:rPr>
                <w:i/>
                <w:color w:val="434343"/>
              </w:rPr>
              <w:t>a</w:t>
            </w:r>
            <w:r w:rsidRPr="00155A97">
              <w:rPr>
                <w:i/>
                <w:color w:val="434343"/>
              </w:rPr>
              <w:t>danya</w:t>
            </w:r>
            <w:r w:rsidR="00E85655" w:rsidRPr="00155A97">
              <w:rPr>
                <w:i/>
                <w:color w:val="434343"/>
              </w:rPr>
              <w:t xml:space="preserve"> kebijakan</w:t>
            </w:r>
            <w:r w:rsidRPr="00155A97">
              <w:rPr>
                <w:i/>
                <w:color w:val="434343"/>
              </w:rPr>
              <w:t xml:space="preserve"> mengenai  pemulihan korban di Aceh secara langsung merupakan pengakuan negara atas pengungkapan kebenaran yang dikerjakan oleh KKR Aceh dan menjadi landasan pemenuhan hak korban. </w:t>
            </w:r>
          </w:p>
          <w:p w14:paraId="588A6A6C" w14:textId="77777777" w:rsidR="00DF4AEC" w:rsidRDefault="001916CF">
            <w:pPr>
              <w:spacing w:after="240" w:line="240" w:lineRule="auto"/>
              <w:jc w:val="both"/>
              <w:rPr>
                <w:i/>
                <w:color w:val="434343"/>
                <w:sz w:val="21"/>
                <w:szCs w:val="21"/>
              </w:rPr>
            </w:pPr>
            <w:r w:rsidRPr="00155A97">
              <w:rPr>
                <w:i/>
                <w:color w:val="434343"/>
              </w:rPr>
              <w:t>Kedua, disahkannya RUU KKR akan menjadi dasar pengungkapan kebenaran atas peristiwa pelanggaran HAM berat di masa lalu (hingga UU tahun 26/2000 disahkan) dan memenuhi hak korban atas kebenaran. Kerja KKR akan menjadi bahan pendidikan bagi publik dan aparatur negara sehingga peristiwa serupa tidak terulang lagi di masa depan, Komitmen di atas relevan dengan nilai-nilai keterbukaan pemerintah karena mendorong adanya pengungkapan kebenaran yang bisa menjadi dasar bagi pemenuhan hak korban atas kebenaran dan reparasi serta bisa menjadi landasan untuk pembelajaran publik dan reformasi kelembagaan.</w:t>
            </w:r>
          </w:p>
        </w:tc>
      </w:tr>
      <w:tr w:rsidR="00DF4AEC" w14:paraId="051E1334" w14:textId="77777777">
        <w:tc>
          <w:tcPr>
            <w:tcW w:w="1702" w:type="dxa"/>
            <w:tcBorders>
              <w:top w:val="single" w:sz="4" w:space="0" w:color="000000"/>
              <w:left w:val="single" w:sz="4" w:space="0" w:color="000000"/>
              <w:bottom w:val="single" w:sz="4" w:space="0" w:color="000000"/>
              <w:right w:val="single" w:sz="4" w:space="0" w:color="000000"/>
            </w:tcBorders>
          </w:tcPr>
          <w:p w14:paraId="0FC71F3B" w14:textId="77777777" w:rsidR="00DF4AEC" w:rsidRDefault="001916CF">
            <w:pPr>
              <w:spacing w:line="240" w:lineRule="auto"/>
              <w:rPr>
                <w:b/>
              </w:rPr>
            </w:pPr>
            <w:r>
              <w:rPr>
                <w:b/>
              </w:rPr>
              <w:t>Pengusul Komitmen</w:t>
            </w:r>
          </w:p>
          <w:p w14:paraId="6505DD0B" w14:textId="77777777" w:rsidR="00DF4AEC" w:rsidRDefault="00DF4AEC">
            <w:pPr>
              <w:spacing w:line="240" w:lineRule="auto"/>
              <w:rPr>
                <w:b/>
              </w:rPr>
            </w:pPr>
          </w:p>
          <w:p w14:paraId="2CFDDB32" w14:textId="77777777" w:rsidR="00DF4AEC" w:rsidRDefault="00DF4AEC">
            <w:pPr>
              <w:spacing w:line="240" w:lineRule="auto"/>
              <w:rPr>
                <w:b/>
              </w:rPr>
            </w:pPr>
          </w:p>
        </w:tc>
        <w:tc>
          <w:tcPr>
            <w:tcW w:w="7773" w:type="dxa"/>
            <w:gridSpan w:val="3"/>
            <w:tcBorders>
              <w:top w:val="single" w:sz="4" w:space="0" w:color="000000"/>
              <w:left w:val="single" w:sz="4" w:space="0" w:color="000000"/>
              <w:bottom w:val="single" w:sz="4" w:space="0" w:color="000000"/>
              <w:right w:val="single" w:sz="4" w:space="0" w:color="000000"/>
            </w:tcBorders>
          </w:tcPr>
          <w:p w14:paraId="21CECBBB" w14:textId="77777777" w:rsidR="00DF4AEC" w:rsidRDefault="00DF4AEC">
            <w:pPr>
              <w:spacing w:line="240" w:lineRule="auto"/>
            </w:pPr>
          </w:p>
          <w:p w14:paraId="156A921D" w14:textId="77777777" w:rsidR="00DF4AEC" w:rsidRDefault="001916CF">
            <w:pPr>
              <w:numPr>
                <w:ilvl w:val="0"/>
                <w:numId w:val="5"/>
              </w:numPr>
              <w:spacing w:line="240" w:lineRule="auto"/>
            </w:pPr>
            <w:r>
              <w:t>Yayasan TIFA</w:t>
            </w:r>
          </w:p>
          <w:p w14:paraId="34741975" w14:textId="3C747F44" w:rsidR="00DF4AEC" w:rsidRDefault="001916CF">
            <w:pPr>
              <w:numPr>
                <w:ilvl w:val="0"/>
                <w:numId w:val="5"/>
              </w:numPr>
              <w:spacing w:line="240" w:lineRule="auto"/>
            </w:pPr>
            <w:r>
              <w:t>Yayasan Indonesia untuk Kemanusiaan</w:t>
            </w:r>
          </w:p>
          <w:p w14:paraId="65017CD0" w14:textId="77777777" w:rsidR="00DF4AEC" w:rsidRDefault="001916CF">
            <w:pPr>
              <w:numPr>
                <w:ilvl w:val="0"/>
                <w:numId w:val="5"/>
              </w:numPr>
              <w:spacing w:after="240" w:line="240" w:lineRule="auto"/>
            </w:pPr>
            <w:r>
              <w:t>KontraS Aceh</w:t>
            </w:r>
          </w:p>
        </w:tc>
      </w:tr>
      <w:tr w:rsidR="00DF4AEC" w14:paraId="45A7BF37" w14:textId="77777777">
        <w:trPr>
          <w:trHeight w:val="270"/>
        </w:trPr>
        <w:tc>
          <w:tcPr>
            <w:tcW w:w="1702" w:type="dxa"/>
            <w:vMerge w:val="restart"/>
            <w:tcBorders>
              <w:top w:val="single" w:sz="4" w:space="0" w:color="000000"/>
              <w:left w:val="single" w:sz="4" w:space="0" w:color="000000"/>
              <w:bottom w:val="single" w:sz="4" w:space="0" w:color="000000"/>
              <w:right w:val="single" w:sz="4" w:space="0" w:color="000000"/>
            </w:tcBorders>
          </w:tcPr>
          <w:p w14:paraId="6DD36AFC" w14:textId="77777777" w:rsidR="00DF4AEC" w:rsidRDefault="001916CF">
            <w:pPr>
              <w:spacing w:line="240" w:lineRule="auto"/>
              <w:rPr>
                <w:b/>
              </w:rPr>
            </w:pPr>
            <w:r>
              <w:rPr>
                <w:b/>
              </w:rPr>
              <w:t>Pemangku Kepentingan</w:t>
            </w:r>
          </w:p>
        </w:tc>
        <w:tc>
          <w:tcPr>
            <w:tcW w:w="2591" w:type="dxa"/>
            <w:tcBorders>
              <w:top w:val="single" w:sz="4" w:space="0" w:color="000000"/>
              <w:left w:val="single" w:sz="4" w:space="0" w:color="000000"/>
              <w:bottom w:val="single" w:sz="8" w:space="0" w:color="000000"/>
              <w:right w:val="single" w:sz="4" w:space="0" w:color="000000"/>
            </w:tcBorders>
          </w:tcPr>
          <w:p w14:paraId="62BC2F1E" w14:textId="77777777" w:rsidR="00DF4AEC" w:rsidRDefault="001916CF">
            <w:pPr>
              <w:spacing w:line="240" w:lineRule="auto"/>
              <w:rPr>
                <w:b/>
              </w:rPr>
            </w:pPr>
            <w:r>
              <w:rPr>
                <w:b/>
              </w:rPr>
              <w:t>Kementerian/</w:t>
            </w:r>
          </w:p>
          <w:p w14:paraId="68688F8D" w14:textId="77777777" w:rsidR="00DF4AEC" w:rsidRDefault="001916CF">
            <w:pPr>
              <w:spacing w:line="240" w:lineRule="auto"/>
              <w:rPr>
                <w:b/>
              </w:rPr>
            </w:pPr>
            <w:r>
              <w:rPr>
                <w:b/>
              </w:rPr>
              <w:t>Lembaga (K/L)</w:t>
            </w:r>
          </w:p>
        </w:tc>
        <w:tc>
          <w:tcPr>
            <w:tcW w:w="2591" w:type="dxa"/>
            <w:tcBorders>
              <w:top w:val="single" w:sz="4" w:space="0" w:color="000000"/>
              <w:left w:val="single" w:sz="4" w:space="0" w:color="000000"/>
              <w:bottom w:val="single" w:sz="4" w:space="0" w:color="000000"/>
              <w:right w:val="single" w:sz="4" w:space="0" w:color="000000"/>
            </w:tcBorders>
          </w:tcPr>
          <w:p w14:paraId="0E580585" w14:textId="77777777" w:rsidR="00DF4AEC" w:rsidRDefault="001916CF">
            <w:pPr>
              <w:spacing w:line="240" w:lineRule="auto"/>
              <w:rPr>
                <w:b/>
              </w:rPr>
            </w:pPr>
            <w:r>
              <w:rPr>
                <w:b/>
              </w:rPr>
              <w:t>Organisasi Masyarakat Sipil (OMS)</w:t>
            </w:r>
          </w:p>
        </w:tc>
        <w:tc>
          <w:tcPr>
            <w:tcW w:w="2591" w:type="dxa"/>
            <w:tcBorders>
              <w:top w:val="single" w:sz="4" w:space="0" w:color="000000"/>
              <w:left w:val="single" w:sz="4" w:space="0" w:color="000000"/>
              <w:bottom w:val="single" w:sz="4" w:space="0" w:color="000000"/>
              <w:right w:val="single" w:sz="4" w:space="0" w:color="000000"/>
            </w:tcBorders>
          </w:tcPr>
          <w:p w14:paraId="61D86501" w14:textId="77777777" w:rsidR="00DF4AEC" w:rsidRDefault="001916CF">
            <w:pPr>
              <w:spacing w:line="240" w:lineRule="auto"/>
              <w:rPr>
                <w:b/>
              </w:rPr>
            </w:pPr>
            <w:r>
              <w:rPr>
                <w:b/>
              </w:rPr>
              <w:t>Aktor Lainnya (Parlemen, Sektor Privat, dll)</w:t>
            </w:r>
          </w:p>
        </w:tc>
      </w:tr>
      <w:tr w:rsidR="00DF4AEC" w14:paraId="0D0960F1" w14:textId="77777777">
        <w:trPr>
          <w:trHeight w:val="2100"/>
        </w:trPr>
        <w:tc>
          <w:tcPr>
            <w:tcW w:w="1702" w:type="dxa"/>
            <w:vMerge/>
            <w:tcBorders>
              <w:top w:val="single" w:sz="4" w:space="0" w:color="000000"/>
              <w:left w:val="single" w:sz="4" w:space="0" w:color="000000"/>
              <w:bottom w:val="single" w:sz="4" w:space="0" w:color="000000"/>
              <w:right w:val="single" w:sz="4" w:space="0" w:color="000000"/>
            </w:tcBorders>
          </w:tcPr>
          <w:p w14:paraId="4F5F7161" w14:textId="77777777" w:rsidR="00DF4AEC" w:rsidRDefault="00DF4AEC">
            <w:pPr>
              <w:widowControl w:val="0"/>
              <w:pBdr>
                <w:top w:val="nil"/>
                <w:left w:val="nil"/>
                <w:bottom w:val="nil"/>
                <w:right w:val="nil"/>
                <w:between w:val="nil"/>
              </w:pBdr>
              <w:rPr>
                <w:b/>
              </w:rPr>
            </w:pPr>
          </w:p>
        </w:tc>
        <w:tc>
          <w:tcPr>
            <w:tcW w:w="2591" w:type="dxa"/>
            <w:tcBorders>
              <w:top w:val="single" w:sz="8" w:space="0" w:color="000000"/>
              <w:left w:val="single" w:sz="4" w:space="0" w:color="000000"/>
              <w:bottom w:val="single" w:sz="4" w:space="0" w:color="000000"/>
              <w:right w:val="single" w:sz="4" w:space="0" w:color="000000"/>
            </w:tcBorders>
            <w:shd w:val="clear" w:color="auto" w:fill="FFFFFF"/>
          </w:tcPr>
          <w:p w14:paraId="1B8D6C42" w14:textId="77777777" w:rsidR="00DF4AEC" w:rsidRDefault="001916CF">
            <w:pPr>
              <w:numPr>
                <w:ilvl w:val="0"/>
                <w:numId w:val="3"/>
              </w:numPr>
              <w:spacing w:line="240" w:lineRule="auto"/>
              <w:rPr>
                <w:i/>
              </w:rPr>
            </w:pPr>
            <w:r>
              <w:rPr>
                <w:rFonts w:ascii="Times New Roman" w:eastAsia="Times New Roman" w:hAnsi="Times New Roman" w:cs="Times New Roman"/>
                <w:i/>
                <w:sz w:val="24"/>
                <w:szCs w:val="24"/>
              </w:rPr>
              <w:t>Pemerintahan Aceh</w:t>
            </w:r>
          </w:p>
          <w:p w14:paraId="1B7EE789" w14:textId="77777777" w:rsidR="00DF4AEC" w:rsidRDefault="001916CF">
            <w:pPr>
              <w:numPr>
                <w:ilvl w:val="0"/>
                <w:numId w:val="3"/>
              </w:numPr>
              <w:spacing w:line="240" w:lineRule="auto"/>
              <w:rPr>
                <w:i/>
              </w:rPr>
            </w:pPr>
            <w:r>
              <w:rPr>
                <w:rFonts w:ascii="Times New Roman" w:eastAsia="Times New Roman" w:hAnsi="Times New Roman" w:cs="Times New Roman"/>
                <w:i/>
                <w:sz w:val="24"/>
                <w:szCs w:val="24"/>
              </w:rPr>
              <w:t>Badan Reintegrasi Aceh (BRA)</w:t>
            </w:r>
          </w:p>
          <w:p w14:paraId="6E853827" w14:textId="77777777" w:rsidR="00DF4AEC" w:rsidRDefault="001916CF">
            <w:pPr>
              <w:numPr>
                <w:ilvl w:val="0"/>
                <w:numId w:val="3"/>
              </w:numPr>
              <w:spacing w:line="240" w:lineRule="auto"/>
              <w:rPr>
                <w:i/>
              </w:rPr>
            </w:pPr>
            <w:r>
              <w:rPr>
                <w:rFonts w:ascii="Times New Roman" w:eastAsia="Times New Roman" w:hAnsi="Times New Roman" w:cs="Times New Roman"/>
                <w:i/>
                <w:sz w:val="24"/>
                <w:szCs w:val="24"/>
              </w:rPr>
              <w:t>Kemenkopolhukam</w:t>
            </w:r>
          </w:p>
          <w:p w14:paraId="07C811A7" w14:textId="2326FC76" w:rsidR="00DF4AEC" w:rsidRPr="00BA75C4" w:rsidRDefault="001916CF">
            <w:pPr>
              <w:numPr>
                <w:ilvl w:val="0"/>
                <w:numId w:val="3"/>
              </w:numPr>
              <w:spacing w:after="240" w:line="240" w:lineRule="auto"/>
              <w:rPr>
                <w:i/>
              </w:rPr>
            </w:pPr>
            <w:r>
              <w:rPr>
                <w:rFonts w:ascii="Times New Roman" w:eastAsia="Times New Roman" w:hAnsi="Times New Roman" w:cs="Times New Roman"/>
                <w:i/>
                <w:sz w:val="24"/>
                <w:szCs w:val="24"/>
              </w:rPr>
              <w:t>Kemenkumham</w:t>
            </w:r>
          </w:p>
          <w:p w14:paraId="0F4D682D" w14:textId="251FF0F5" w:rsidR="00DF4AEC" w:rsidRPr="00C91D52" w:rsidRDefault="00BA75C4" w:rsidP="00C91D52">
            <w:pPr>
              <w:numPr>
                <w:ilvl w:val="0"/>
                <w:numId w:val="3"/>
              </w:numPr>
              <w:spacing w:after="240" w:line="240" w:lineRule="auto"/>
              <w:rPr>
                <w:i/>
              </w:rPr>
            </w:pPr>
            <w:r>
              <w:rPr>
                <w:rFonts w:ascii="Times New Roman" w:eastAsia="Times New Roman" w:hAnsi="Times New Roman" w:cs="Times New Roman"/>
                <w:i/>
                <w:sz w:val="24"/>
                <w:szCs w:val="24"/>
              </w:rPr>
              <w:t>Komnas HAM</w:t>
            </w: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27A230AF" w14:textId="77777777" w:rsidR="00DF4AEC" w:rsidRDefault="00DF4AEC">
            <w:pPr>
              <w:spacing w:line="240" w:lineRule="auto"/>
              <w:rPr>
                <w:i/>
              </w:rPr>
            </w:pPr>
          </w:p>
          <w:p w14:paraId="1432751B" w14:textId="77777777" w:rsidR="00DF4AEC" w:rsidRDefault="001916CF">
            <w:pPr>
              <w:spacing w:line="240" w:lineRule="auto"/>
              <w:rPr>
                <w:i/>
              </w:rPr>
            </w:pPr>
            <w:r>
              <w:rPr>
                <w:i/>
              </w:rPr>
              <w:t>Yayasan TIFA</w:t>
            </w:r>
          </w:p>
          <w:p w14:paraId="6EC343E1" w14:textId="77777777" w:rsidR="00DF4AEC" w:rsidRDefault="00DF4AEC">
            <w:pPr>
              <w:spacing w:line="240" w:lineRule="auto"/>
              <w:rPr>
                <w:i/>
              </w:rPr>
            </w:pPr>
          </w:p>
          <w:p w14:paraId="540FFBFC" w14:textId="77777777" w:rsidR="00DF4AEC" w:rsidRDefault="001916CF">
            <w:pPr>
              <w:spacing w:line="240" w:lineRule="auto"/>
              <w:rPr>
                <w:i/>
              </w:rPr>
            </w:pPr>
            <w:r>
              <w:rPr>
                <w:i/>
              </w:rPr>
              <w:t>KontraS Aceh</w:t>
            </w:r>
          </w:p>
          <w:p w14:paraId="0442C619" w14:textId="77777777" w:rsidR="00DF4AEC" w:rsidRDefault="00DF4AEC">
            <w:pPr>
              <w:spacing w:line="240" w:lineRule="auto"/>
              <w:rPr>
                <w:i/>
              </w:rPr>
            </w:pPr>
          </w:p>
          <w:p w14:paraId="10B64E81" w14:textId="77777777" w:rsidR="00DF4AEC" w:rsidRDefault="001916CF">
            <w:pPr>
              <w:spacing w:line="240" w:lineRule="auto"/>
              <w:rPr>
                <w:i/>
              </w:rPr>
            </w:pPr>
            <w:r>
              <w:rPr>
                <w:i/>
              </w:rPr>
              <w:t>Indonesia untuk Kemanusiaan</w:t>
            </w:r>
          </w:p>
          <w:p w14:paraId="3CEE5ECA" w14:textId="77777777" w:rsidR="00DF4AEC" w:rsidRDefault="00DF4AEC">
            <w:pPr>
              <w:spacing w:line="240" w:lineRule="auto"/>
              <w:rPr>
                <w:i/>
              </w:rPr>
            </w:pPr>
          </w:p>
          <w:p w14:paraId="1FB74081" w14:textId="77777777" w:rsidR="00DF4AEC" w:rsidRDefault="001916CF">
            <w:pPr>
              <w:spacing w:line="240" w:lineRule="auto"/>
              <w:rPr>
                <w:i/>
              </w:rPr>
            </w:pPr>
            <w:r>
              <w:rPr>
                <w:i/>
              </w:rPr>
              <w:t>OMS pendamping korban</w:t>
            </w: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54325587" w14:textId="77777777" w:rsidR="00DF4AEC" w:rsidRDefault="001916CF">
            <w:pPr>
              <w:spacing w:line="240" w:lineRule="auto"/>
              <w:rPr>
                <w:color w:val="434343"/>
              </w:rPr>
            </w:pPr>
            <w:r>
              <w:rPr>
                <w:rFonts w:ascii="Times New Roman" w:eastAsia="Times New Roman" w:hAnsi="Times New Roman" w:cs="Times New Roman"/>
                <w:i/>
                <w:sz w:val="24"/>
                <w:szCs w:val="24"/>
              </w:rPr>
              <w:t>DPR RI</w:t>
            </w:r>
          </w:p>
          <w:p w14:paraId="2A07EC85" w14:textId="77777777" w:rsidR="00DF4AEC" w:rsidRDefault="00DF4AEC">
            <w:pPr>
              <w:spacing w:line="240" w:lineRule="auto"/>
              <w:rPr>
                <w:color w:val="434343"/>
              </w:rPr>
            </w:pPr>
          </w:p>
        </w:tc>
      </w:tr>
      <w:tr w:rsidR="00DF4AEC" w14:paraId="46F9E3ED" w14:textId="77777777">
        <w:tc>
          <w:tcPr>
            <w:tcW w:w="1702" w:type="dxa"/>
            <w:tcBorders>
              <w:top w:val="single" w:sz="4" w:space="0" w:color="000000"/>
              <w:left w:val="single" w:sz="4" w:space="0" w:color="000000"/>
              <w:bottom w:val="single" w:sz="4" w:space="0" w:color="000000"/>
              <w:right w:val="single" w:sz="4" w:space="0" w:color="000000"/>
            </w:tcBorders>
          </w:tcPr>
          <w:p w14:paraId="3BD8C0FD" w14:textId="77777777" w:rsidR="00DF4AEC" w:rsidRDefault="001916CF">
            <w:pPr>
              <w:spacing w:line="240" w:lineRule="auto"/>
              <w:rPr>
                <w:b/>
              </w:rPr>
            </w:pPr>
            <w:r>
              <w:rPr>
                <w:b/>
              </w:rPr>
              <w:t xml:space="preserve">Jangka Waktu </w:t>
            </w:r>
          </w:p>
        </w:tc>
        <w:tc>
          <w:tcPr>
            <w:tcW w:w="7773" w:type="dxa"/>
            <w:gridSpan w:val="3"/>
            <w:tcBorders>
              <w:top w:val="single" w:sz="4" w:space="0" w:color="000000"/>
              <w:left w:val="single" w:sz="4" w:space="0" w:color="000000"/>
              <w:bottom w:val="single" w:sz="4" w:space="0" w:color="000000"/>
              <w:right w:val="single" w:sz="4" w:space="0" w:color="000000"/>
            </w:tcBorders>
          </w:tcPr>
          <w:p w14:paraId="05706FAC" w14:textId="77777777" w:rsidR="00DF4AEC" w:rsidRDefault="001916CF">
            <w:pPr>
              <w:spacing w:line="240" w:lineRule="auto"/>
            </w:pPr>
            <w:r>
              <w:t>Januari 2023 - Desember 2024</w:t>
            </w:r>
          </w:p>
          <w:p w14:paraId="4578D115" w14:textId="77777777" w:rsidR="00DF4AEC" w:rsidRDefault="00DF4AEC">
            <w:pPr>
              <w:spacing w:line="240" w:lineRule="auto"/>
            </w:pPr>
          </w:p>
        </w:tc>
      </w:tr>
    </w:tbl>
    <w:p w14:paraId="7BA9D801" w14:textId="77777777" w:rsidR="00DF4AEC" w:rsidRDefault="00DF4AEC">
      <w:pPr>
        <w:spacing w:after="180" w:line="274" w:lineRule="auto"/>
        <w:jc w:val="both"/>
        <w:rPr>
          <w:sz w:val="21"/>
          <w:szCs w:val="21"/>
        </w:rPr>
      </w:pPr>
    </w:p>
    <w:tbl>
      <w:tblPr>
        <w:tblStyle w:val="aa"/>
        <w:tblW w:w="9445" w:type="dxa"/>
        <w:tblInd w:w="-11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DF4AEC" w14:paraId="08B8E2E8" w14:textId="77777777">
        <w:trPr>
          <w:trHeight w:val="348"/>
        </w:trPr>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3DD0A78F" w14:textId="77777777" w:rsidR="00DF4AEC" w:rsidRDefault="001916CF">
            <w:pPr>
              <w:spacing w:line="240" w:lineRule="auto"/>
              <w:jc w:val="both"/>
              <w:rPr>
                <w:b/>
                <w:color w:val="FFFFFF"/>
                <w:sz w:val="20"/>
                <w:szCs w:val="20"/>
              </w:rPr>
            </w:pPr>
            <w:bookmarkStart w:id="0" w:name="_heading=h.gjdgxs" w:colFirst="0" w:colLast="0"/>
            <w:bookmarkEnd w:id="0"/>
            <w:r>
              <w:rPr>
                <w:b/>
                <w:color w:val="FFFFFF"/>
                <w:sz w:val="20"/>
                <w:szCs w:val="20"/>
              </w:rPr>
              <w:lastRenderedPageBreak/>
              <w:t xml:space="preserve">Identifikasi Masalah  </w:t>
            </w:r>
          </w:p>
        </w:tc>
      </w:tr>
      <w:tr w:rsidR="00DF4AEC" w14:paraId="165EE864" w14:textId="77777777">
        <w:tc>
          <w:tcPr>
            <w:tcW w:w="9445" w:type="dxa"/>
            <w:tcBorders>
              <w:top w:val="single" w:sz="4" w:space="0" w:color="000000"/>
              <w:left w:val="single" w:sz="4" w:space="0" w:color="000000"/>
              <w:bottom w:val="single" w:sz="4" w:space="0" w:color="000000"/>
              <w:right w:val="single" w:sz="4" w:space="0" w:color="000000"/>
            </w:tcBorders>
          </w:tcPr>
          <w:p w14:paraId="37E59C79" w14:textId="77777777" w:rsidR="00DF4AEC" w:rsidRDefault="001916CF">
            <w:pPr>
              <w:numPr>
                <w:ilvl w:val="0"/>
                <w:numId w:val="6"/>
              </w:numPr>
              <w:spacing w:line="240" w:lineRule="auto"/>
              <w:rPr>
                <w:b/>
                <w:sz w:val="20"/>
                <w:szCs w:val="20"/>
              </w:rPr>
            </w:pPr>
            <w:r>
              <w:rPr>
                <w:b/>
                <w:sz w:val="20"/>
                <w:szCs w:val="20"/>
              </w:rPr>
              <w:t xml:space="preserve">Masalah apa yang ingin diselesaikan melalui komitmen ini? </w:t>
            </w:r>
          </w:p>
          <w:p w14:paraId="7EB09EA7" w14:textId="77777777" w:rsidR="00DF4AEC" w:rsidRDefault="001916CF">
            <w:pPr>
              <w:spacing w:line="240" w:lineRule="auto"/>
              <w:ind w:left="720"/>
              <w:rPr>
                <w:i/>
                <w:color w:val="434343"/>
                <w:sz w:val="20"/>
                <w:szCs w:val="20"/>
              </w:rPr>
            </w:pPr>
            <w:r>
              <w:rPr>
                <w:i/>
                <w:color w:val="434343"/>
                <w:sz w:val="20"/>
                <w:szCs w:val="20"/>
              </w:rPr>
              <w:t xml:space="preserve">Siapa yang terpengaruh? Di mana masalah ini terjadi? Bagaimana mereka terpengaruh? Kapan mereka paling terpengaruh? Kapan masalah ini mulai? Berapa lama masalah tersebut telah mempengaruhi kelompok/individu yang terpengaruh? </w:t>
            </w:r>
          </w:p>
          <w:p w14:paraId="58C35E8F" w14:textId="77777777" w:rsidR="00DF4AEC" w:rsidRDefault="00DF4AEC">
            <w:pPr>
              <w:spacing w:line="240" w:lineRule="auto"/>
              <w:jc w:val="both"/>
              <w:rPr>
                <w:sz w:val="20"/>
                <w:szCs w:val="20"/>
              </w:rPr>
            </w:pPr>
          </w:p>
          <w:p w14:paraId="5A0F7162" w14:textId="658CE0DB" w:rsidR="00DF4AEC" w:rsidRPr="00EB47E8" w:rsidRDefault="001916CF">
            <w:pPr>
              <w:spacing w:before="40" w:after="40" w:line="240" w:lineRule="auto"/>
              <w:jc w:val="both"/>
            </w:pPr>
            <w:r w:rsidRPr="00A05B1D">
              <w:t>D</w:t>
            </w:r>
            <w:r w:rsidRPr="00EB47E8">
              <w:t xml:space="preserve">i Aceh telah terbentuk Komisi Kebenaran dan Rekonsiliasi (KKR) Aceh yang kini memasuki periode kerja 5 tahun kedua. Periode pertama telah melakukan pengambilan pernyataan sebanyak 5.264 pernyataan saksi dan korban  yang tersebar di 14 kabupaten/kota di Aceh. </w:t>
            </w:r>
            <w:r w:rsidR="00573A68" w:rsidRPr="00EB47E8">
              <w:t xml:space="preserve">KKR Aceh juga telah melakukan </w:t>
            </w:r>
            <w:r w:rsidR="00BF2D7D" w:rsidRPr="00EB47E8">
              <w:t xml:space="preserve">Dengar Kesaksian publik dan pengumpulan data dan dokumen sebagai bahan analisis dan penulisan laporan. </w:t>
            </w:r>
            <w:r w:rsidRPr="00EA7454">
              <w:rPr>
                <w:b/>
              </w:rPr>
              <w:t xml:space="preserve">Hak atas kebenaran melalui pengambilan pernyataan </w:t>
            </w:r>
            <w:r w:rsidR="00627328" w:rsidRPr="00EA7454">
              <w:rPr>
                <w:b/>
              </w:rPr>
              <w:t xml:space="preserve">dan rangkaian proses </w:t>
            </w:r>
            <w:r w:rsidRPr="00EA7454">
              <w:rPr>
                <w:b/>
              </w:rPr>
              <w:t>tersebut belum mampu mendorong terwujudnya pemenuhan hak reparasi bagi korban pelanggaran HAM masa lalu sebab ada sejumlah proses yang harus dilewati oleh KKR Aceh</w:t>
            </w:r>
            <w:r w:rsidRPr="00EB47E8">
              <w:t xml:space="preserve">. Diantaranya melakukan pemilihan, analisa kebutuhan dan rekomendasi kebutuhan kepada pemerintah Aceh. Proses ini belum terlalu maksimal dilakukan dikarenakan secara umum memang </w:t>
            </w:r>
            <w:r w:rsidRPr="00201E34">
              <w:rPr>
                <w:b/>
              </w:rPr>
              <w:t>belum ada regulasi tertentu yang mengatur dengan jelas bagaimana proses pelaksanaan rekomendasi reparasi KKR Aceh oleh Pemerintah Aceh melalui satuan kerja yang dimilikinya</w:t>
            </w:r>
            <w:r w:rsidRPr="00EB47E8">
              <w:t xml:space="preserve">. </w:t>
            </w:r>
          </w:p>
          <w:p w14:paraId="1D7DA9D9" w14:textId="77777777" w:rsidR="00DF4AEC" w:rsidRPr="00EB47E8" w:rsidRDefault="00DF4AEC">
            <w:pPr>
              <w:spacing w:before="40" w:after="40" w:line="240" w:lineRule="auto"/>
              <w:jc w:val="both"/>
            </w:pPr>
          </w:p>
          <w:p w14:paraId="78E9BD39" w14:textId="77777777" w:rsidR="00DF4AEC" w:rsidRPr="00EB47E8" w:rsidRDefault="001916CF">
            <w:pPr>
              <w:spacing w:before="40" w:after="40" w:line="240" w:lineRule="auto"/>
              <w:jc w:val="both"/>
            </w:pPr>
            <w:r w:rsidRPr="00EB47E8">
              <w:t xml:space="preserve">Pada 27 Mei 2020 Gubernur Aceh mengeluarkan Surat Keputusan Gubernur Aceh Nomor 330/1209/2020 tentang Penetapan Penerima Reparasi Mendesak Pemulihan Hak Korban Pelanggaran HAM yang hingga saat ini masih belum terimplementasi karena </w:t>
            </w:r>
            <w:r w:rsidRPr="00714B39">
              <w:rPr>
                <w:b/>
              </w:rPr>
              <w:t>tidak termasuk dalam nomenklatur anggaran program pembangunan, prosedur akses yang birokratis dan tidak ramah korban dan kendala teknis serta non teknis lainnya</w:t>
            </w:r>
            <w:r w:rsidRPr="00EB47E8">
              <w:t>. Konsekuensinya, pelaksanaan rekomendasi reparasi terpaksa didorong dengan memanfaatkan program-program yang sudah ada pada Satuan Kerja Pemerintah Aceh (SKPA), meskipun harus diakses melalui skema dan mekanisme yang tidak berperspektif pemenuhan hak korban melainkan melewati tahapan birokrasi yang berlaku dalam program terkait, misalnya berupa bantuan sosial.</w:t>
            </w:r>
          </w:p>
          <w:p w14:paraId="3A0D3A47" w14:textId="77777777" w:rsidR="00DF4AEC" w:rsidRPr="00EB47E8" w:rsidRDefault="00DF4AEC">
            <w:pPr>
              <w:spacing w:before="40" w:after="40" w:line="240" w:lineRule="auto"/>
              <w:jc w:val="both"/>
            </w:pPr>
          </w:p>
          <w:p w14:paraId="28819853" w14:textId="65267BD1" w:rsidR="00DF4AEC" w:rsidRDefault="001916CF">
            <w:pPr>
              <w:spacing w:before="40" w:after="40" w:line="240" w:lineRule="auto"/>
              <w:jc w:val="both"/>
            </w:pPr>
            <w:r w:rsidRPr="00EB47E8">
              <w:t xml:space="preserve">Pembentukan Komisi Kebenaran dan Rekonsiliasi juga merupakan salah satu langkah konkret penghargaan hak asasi manusia sehingga pengungkapan kebenaran untuk mendapatkan kompensasi, restitusi, dan/atau rehabilitasi. KKR tidak menegasikan mekanisme lain </w:t>
            </w:r>
            <w:r w:rsidR="00936244">
              <w:t xml:space="preserve">seperti keadilan, reparasi dan jaminan ketidakberulangan </w:t>
            </w:r>
            <w:r w:rsidRPr="00EB47E8">
              <w:t xml:space="preserve">melainkan komplementer mekanisme yudisial untuk </w:t>
            </w:r>
            <w:r w:rsidR="000819D4">
              <w:t xml:space="preserve">pemenuhan rasa keadilan </w:t>
            </w:r>
            <w:r w:rsidR="00837195">
              <w:t>penegakan hukum</w:t>
            </w:r>
            <w:r w:rsidRPr="00EB47E8">
              <w:t xml:space="preserve"> </w:t>
            </w:r>
            <w:r w:rsidR="00837195">
              <w:t>sehingga</w:t>
            </w:r>
            <w:r w:rsidRPr="00EB47E8">
              <w:t xml:space="preserve"> </w:t>
            </w:r>
            <w:r w:rsidR="00837195">
              <w:t>memutus rantai impunittas</w:t>
            </w:r>
            <w:r w:rsidRPr="00EB47E8">
              <w:t>.</w:t>
            </w:r>
          </w:p>
          <w:p w14:paraId="1068DB4B" w14:textId="21B181F9" w:rsidR="001B5078" w:rsidRDefault="001B5078">
            <w:pPr>
              <w:spacing w:before="40" w:after="40" w:line="240" w:lineRule="auto"/>
              <w:jc w:val="both"/>
            </w:pPr>
          </w:p>
          <w:p w14:paraId="31D3EA00" w14:textId="787ACD99" w:rsidR="001B5078" w:rsidRPr="00EB47E8" w:rsidRDefault="007A59D0">
            <w:pPr>
              <w:spacing w:before="40" w:after="40" w:line="240" w:lineRule="auto"/>
              <w:jc w:val="both"/>
            </w:pPr>
            <w:r>
              <w:t xml:space="preserve">Dampak </w:t>
            </w:r>
            <w:r w:rsidR="008C42A2">
              <w:t>peristiwa pelanggaran HAM di masa lalu berpengaryuh pada k</w:t>
            </w:r>
            <w:r w:rsidR="001B5078">
              <w:t xml:space="preserve">ondisi korban dan penyintas </w:t>
            </w:r>
            <w:r>
              <w:t>secara ekonomi dan sosial</w:t>
            </w:r>
            <w:r w:rsidR="008C42A2">
              <w:t>. Secara ekonomi</w:t>
            </w:r>
            <w:r w:rsidR="0061396F">
              <w:t xml:space="preserve"> misalnya,banyak perempuan yang merupakan seorang Ibu</w:t>
            </w:r>
            <w:r w:rsidR="00EB2F00">
              <w:t>,</w:t>
            </w:r>
            <w:r w:rsidR="008C42A2">
              <w:t xml:space="preserve"> </w:t>
            </w:r>
            <w:r w:rsidR="00945A07">
              <w:t xml:space="preserve">istri </w:t>
            </w:r>
            <w:r w:rsidR="00EB2F00">
              <w:t>atau</w:t>
            </w:r>
            <w:r w:rsidR="00945A07">
              <w:t xml:space="preserve"> anak dari korban</w:t>
            </w:r>
            <w:r w:rsidR="00EB2F00">
              <w:t xml:space="preserve"> </w:t>
            </w:r>
            <w:r w:rsidR="00945A07">
              <w:t xml:space="preserve">mengalami trauma dan </w:t>
            </w:r>
            <w:r w:rsidR="0061396F">
              <w:t>hidup dalam kemiskinan.</w:t>
            </w:r>
            <w:r w:rsidR="00970399">
              <w:t xml:space="preserve"> Sebagian lagi juga merupakan lansia yang membutuhkan juga mengalami </w:t>
            </w:r>
            <w:r w:rsidR="005E15CF">
              <w:t xml:space="preserve">masalah </w:t>
            </w:r>
            <w:r w:rsidR="00970399">
              <w:t>kesehatan</w:t>
            </w:r>
            <w:r w:rsidR="005E15CF">
              <w:t xml:space="preserve"> selain masalah ekonomi dan sosial.</w:t>
            </w:r>
            <w:r w:rsidR="00970399">
              <w:t xml:space="preserve"> </w:t>
            </w:r>
            <w:r w:rsidR="005E15CF">
              <w:t xml:space="preserve">Namun </w:t>
            </w:r>
            <w:r w:rsidR="00B163DB">
              <w:t xml:space="preserve">mereka masih mendapatkan stigma </w:t>
            </w:r>
            <w:r w:rsidR="00A51A4B">
              <w:t xml:space="preserve">ataupun </w:t>
            </w:r>
            <w:r w:rsidR="00E928CA">
              <w:t xml:space="preserve">belum terjangkau oleh </w:t>
            </w:r>
          </w:p>
          <w:p w14:paraId="5D949A03" w14:textId="554BD866" w:rsidR="00E85650" w:rsidRDefault="00E85650">
            <w:pPr>
              <w:spacing w:before="40" w:after="40" w:line="240" w:lineRule="auto"/>
              <w:jc w:val="both"/>
            </w:pPr>
          </w:p>
          <w:p w14:paraId="59B9AE60" w14:textId="760EDB79" w:rsidR="00837195" w:rsidRPr="008F0830" w:rsidRDefault="00837195">
            <w:pPr>
              <w:spacing w:before="40" w:after="40" w:line="240" w:lineRule="auto"/>
              <w:jc w:val="both"/>
              <w:rPr>
                <w:b/>
                <w:bCs/>
              </w:rPr>
            </w:pPr>
            <w:r w:rsidRPr="008F0830">
              <w:rPr>
                <w:b/>
                <w:bCs/>
                <w:i/>
                <w:iCs/>
              </w:rPr>
              <w:t>RUU KKR</w:t>
            </w:r>
            <w:r w:rsidR="008F0830" w:rsidRPr="008F0830">
              <w:rPr>
                <w:b/>
                <w:bCs/>
                <w:i/>
                <w:iCs/>
              </w:rPr>
              <w:t xml:space="preserve">: Payung hukum mekanisme pengungkapan kebenaran di </w:t>
            </w:r>
            <w:r w:rsidR="001F3552">
              <w:rPr>
                <w:b/>
                <w:bCs/>
                <w:i/>
                <w:iCs/>
              </w:rPr>
              <w:t>n</w:t>
            </w:r>
            <w:r w:rsidR="008F0830" w:rsidRPr="008F0830">
              <w:rPr>
                <w:b/>
                <w:bCs/>
                <w:i/>
                <w:iCs/>
              </w:rPr>
              <w:t>asional</w:t>
            </w:r>
            <w:r w:rsidR="00BD57BE">
              <w:rPr>
                <w:b/>
                <w:bCs/>
                <w:i/>
                <w:iCs/>
              </w:rPr>
              <w:t xml:space="preserve"> dan Papua</w:t>
            </w:r>
          </w:p>
          <w:p w14:paraId="4261500C" w14:textId="77777777" w:rsidR="008F0830" w:rsidRPr="008F0830" w:rsidRDefault="008F0830">
            <w:pPr>
              <w:spacing w:before="40" w:after="40" w:line="240" w:lineRule="auto"/>
              <w:jc w:val="both"/>
            </w:pPr>
          </w:p>
          <w:p w14:paraId="39983798" w14:textId="7269D82F" w:rsidR="003373A7" w:rsidRDefault="00E85650" w:rsidP="00E85650">
            <w:pPr>
              <w:spacing w:before="40" w:after="40"/>
              <w:jc w:val="both"/>
              <w:rPr>
                <w:color w:val="000000"/>
              </w:rPr>
            </w:pPr>
            <w:r w:rsidRPr="00EB47E8">
              <w:rPr>
                <w:rFonts w:eastAsia="Times New Roman"/>
              </w:rPr>
              <w:t xml:space="preserve">Di tingkat nasional dan juga di tingkat lokal tanah Papua, mekanisme pengungkapan kebenaran </w:t>
            </w:r>
            <w:r w:rsidR="00086B2E" w:rsidRPr="00EB47E8">
              <w:rPr>
                <w:rFonts w:eastAsia="Times New Roman"/>
              </w:rPr>
              <w:t>seperti d</w:t>
            </w:r>
            <w:r w:rsidRPr="00EB47E8">
              <w:rPr>
                <w:rFonts w:eastAsia="Times New Roman"/>
              </w:rPr>
              <w:t xml:space="preserve">i Aceh belum ada. Pasca dibatalkannya UU KKR No. 27/2004 pada tahun 2006, </w:t>
            </w:r>
            <w:r w:rsidRPr="00037B1A">
              <w:rPr>
                <w:rFonts w:eastAsia="Times New Roman"/>
                <w:b/>
              </w:rPr>
              <w:t>Pemerintah dan DPR menyusun RUU KKR namun tidak menjadi prioritas hingga 2022</w:t>
            </w:r>
            <w:r w:rsidRPr="00EB47E8">
              <w:rPr>
                <w:rFonts w:eastAsia="Times New Roman"/>
              </w:rPr>
              <w:t xml:space="preserve">. </w:t>
            </w:r>
            <w:r w:rsidR="003373A7">
              <w:rPr>
                <w:rFonts w:eastAsia="Times New Roman"/>
              </w:rPr>
              <w:lastRenderedPageBreak/>
              <w:t>Pada s</w:t>
            </w:r>
            <w:r w:rsidR="003373A7">
              <w:rPr>
                <w:color w:val="000000"/>
              </w:rPr>
              <w:t>aat sebelum dibatalkannya UU No. 27/2004 tentang KKR, pembentuk undang-undang juga mengesahkan UU No. 11/2006 tentang Pemerintahan Aceh, yang juga mengamanatkan pembentukan Komisi Kebenaran dan Rekonsiliasi di Aceh. Di dalam Pasal 229 ayat (1) UU Pemerintahan Aceh disebutkan, “Untuk mencari kebenaran dan rekonsiliasi, dengan Undang-Undang ini dibentuk Komisi Kebenaran dan Rekonsiliasi di Aceh”. Faktanya, tanpa adanya KKR Nasional, hari ini KKR Aceh juga sudah</w:t>
            </w:r>
            <w:r w:rsidR="002C041C">
              <w:rPr>
                <w:color w:val="000000"/>
              </w:rPr>
              <w:t xml:space="preserve"> </w:t>
            </w:r>
            <w:r w:rsidR="003373A7">
              <w:rPr>
                <w:color w:val="000000"/>
              </w:rPr>
              <w:t>bekerja, dengan mengacu pada peraturan daerah (Qanun) Aceh. Ketentuan ini sejalan dengan mandat UU No. 21/2001 tentang Otonomi Khusus Bagi Provinsi Papua, yang mengamanatkan pembentukan KKR di Papua (Papua).</w:t>
            </w:r>
          </w:p>
          <w:p w14:paraId="619776C3" w14:textId="0AB40211" w:rsidR="00BD57BE" w:rsidRDefault="00BD57BE" w:rsidP="00E85650">
            <w:pPr>
              <w:spacing w:before="40" w:after="40"/>
              <w:jc w:val="both"/>
              <w:rPr>
                <w:color w:val="000000"/>
              </w:rPr>
            </w:pPr>
          </w:p>
          <w:p w14:paraId="36BFF6E1" w14:textId="07DC37FD" w:rsidR="00BD57BE" w:rsidRDefault="00BD57BE" w:rsidP="00E85650">
            <w:pPr>
              <w:spacing w:before="40" w:after="40"/>
              <w:jc w:val="both"/>
              <w:rPr>
                <w:color w:val="000000"/>
              </w:rPr>
            </w:pPr>
            <w:r>
              <w:rPr>
                <w:color w:val="000000"/>
              </w:rPr>
              <w:t>Pembentukan KKR di Papua se</w:t>
            </w:r>
            <w:r w:rsidR="00C9761E">
              <w:rPr>
                <w:color w:val="000000"/>
              </w:rPr>
              <w:t>lain untuk mengungkap kebenaran</w:t>
            </w:r>
            <w:r>
              <w:rPr>
                <w:color w:val="000000"/>
              </w:rPr>
              <w:t xml:space="preserve"> </w:t>
            </w:r>
            <w:r w:rsidR="00C9761E">
              <w:rPr>
                <w:color w:val="000000"/>
              </w:rPr>
              <w:t xml:space="preserve">juga </w:t>
            </w:r>
            <w:r w:rsidR="00FE120C">
              <w:rPr>
                <w:color w:val="000000"/>
              </w:rPr>
              <w:t>bisa ditujuk</w:t>
            </w:r>
            <w:r>
              <w:rPr>
                <w:color w:val="000000"/>
              </w:rPr>
              <w:t>an untuk melakukan klarifikasi sejarah Papua, guna pemantapan persatuan dan kesatuan bangsa. Lebih jauh, KKR di Papua bertugas untuk melakukan kerja-kerja rekonsiliasi, yang mencakup pengungkapan kebenaran, pengakuan kesalahan, permintaan maaf, pemberian maaf, perdamaian, penegakan hukum, rehabilitasi, atau alternatif lain yang bermanfaat dan dengan memperhatikan rasa keadilan dalam masyarakat. Sementara ketentuan Pasal 47 UU No. 26/2000 tentang Pengadilan HAM mengatakan pelanggaran HAM yang berat sebelum berlakunya undang-undang ini (UU No. 26/2000), tidak menutup kemungkinan penyelesaiannya melalui KKR yang dibentuk melalui undang-undang</w:t>
            </w:r>
            <w:r w:rsidR="00B46410">
              <w:rPr>
                <w:color w:val="000000"/>
              </w:rPr>
              <w:t>.</w:t>
            </w:r>
          </w:p>
          <w:p w14:paraId="4D066245" w14:textId="77777777" w:rsidR="00ED0A08" w:rsidRDefault="00ED0A08" w:rsidP="00E85650">
            <w:pPr>
              <w:spacing w:before="40" w:after="40"/>
              <w:jc w:val="both"/>
              <w:rPr>
                <w:rFonts w:eastAsia="Times New Roman"/>
              </w:rPr>
            </w:pPr>
          </w:p>
          <w:p w14:paraId="20B29203" w14:textId="364CC116" w:rsidR="001F3552" w:rsidRDefault="00E85650" w:rsidP="00E85650">
            <w:pPr>
              <w:spacing w:before="40" w:after="40"/>
              <w:jc w:val="both"/>
              <w:rPr>
                <w:rFonts w:eastAsia="Times New Roman"/>
              </w:rPr>
            </w:pPr>
            <w:r w:rsidRPr="00EB47E8">
              <w:rPr>
                <w:rFonts w:eastAsia="Times New Roman"/>
              </w:rPr>
              <w:t>Adanya kebijakan KKR di level nasional juga bisa memperkuat pembentukan Komisi Kebenaran di Papua dan Papua Barat. Dalam konsep keadilan transisional, mekanisme pengungkapan kebenaran menjadi salah satu bagian tidak terpisahkan dengan upaya peradilan, reparasi dan reformasi institusi.</w:t>
            </w:r>
          </w:p>
          <w:p w14:paraId="7E016CE5" w14:textId="74D81535" w:rsidR="00E85650" w:rsidRPr="00EB47E8" w:rsidRDefault="00E85650" w:rsidP="00E85650">
            <w:pPr>
              <w:spacing w:before="40" w:after="40"/>
              <w:jc w:val="both"/>
              <w:rPr>
                <w:rFonts w:eastAsia="Times New Roman"/>
              </w:rPr>
            </w:pPr>
            <w:r w:rsidRPr="00EB47E8">
              <w:rPr>
                <w:rFonts w:eastAsia="Times New Roman"/>
              </w:rPr>
              <w:t xml:space="preserve"> </w:t>
            </w:r>
          </w:p>
          <w:p w14:paraId="7DF6BEC4" w14:textId="17BB8B99" w:rsidR="00E85650" w:rsidRPr="00EB47E8" w:rsidRDefault="00E85650" w:rsidP="00E85650">
            <w:pPr>
              <w:spacing w:before="40" w:after="40" w:line="240" w:lineRule="auto"/>
              <w:jc w:val="both"/>
            </w:pPr>
            <w:r w:rsidRPr="00037B1A">
              <w:rPr>
                <w:rFonts w:eastAsia="Times New Roman"/>
                <w:b/>
              </w:rPr>
              <w:t>Oleh karena itu, pemerintah dan DPR perlu mengesahkan RUU KKR yang sesuai dengan instrumen HAM</w:t>
            </w:r>
            <w:r w:rsidRPr="00EB47E8">
              <w:rPr>
                <w:rFonts w:eastAsia="Times New Roman"/>
              </w:rPr>
              <w:t>, sebagai landasan pelengkap dari UU 39 tahun 1999 tentang HAM dan UU No. 26 Tahun 2000 tentang Pengadilan HAM. Landasan undang-undang lebih kuat secara mandat dan secara politik dibanding kebijakan lainnya</w:t>
            </w:r>
          </w:p>
          <w:p w14:paraId="0EBD7C86" w14:textId="77777777" w:rsidR="00DF4AEC" w:rsidRDefault="00DF4AEC">
            <w:pPr>
              <w:spacing w:line="240" w:lineRule="auto"/>
              <w:jc w:val="both"/>
              <w:rPr>
                <w:sz w:val="20"/>
                <w:szCs w:val="20"/>
              </w:rPr>
            </w:pPr>
          </w:p>
        </w:tc>
      </w:tr>
      <w:tr w:rsidR="00DF4AEC" w14:paraId="4E952EDD" w14:textId="77777777">
        <w:tc>
          <w:tcPr>
            <w:tcW w:w="9445" w:type="dxa"/>
            <w:tcBorders>
              <w:top w:val="single" w:sz="4" w:space="0" w:color="000000"/>
              <w:left w:val="single" w:sz="4" w:space="0" w:color="000000"/>
              <w:bottom w:val="single" w:sz="4" w:space="0" w:color="000000"/>
              <w:right w:val="single" w:sz="4" w:space="0" w:color="000000"/>
            </w:tcBorders>
          </w:tcPr>
          <w:p w14:paraId="5205F149" w14:textId="77777777" w:rsidR="00DF4AEC" w:rsidRDefault="001916CF">
            <w:pPr>
              <w:numPr>
                <w:ilvl w:val="0"/>
                <w:numId w:val="6"/>
              </w:numPr>
              <w:spacing w:line="240" w:lineRule="auto"/>
              <w:rPr>
                <w:b/>
                <w:sz w:val="20"/>
                <w:szCs w:val="20"/>
              </w:rPr>
            </w:pPr>
            <w:r>
              <w:rPr>
                <w:b/>
                <w:sz w:val="20"/>
                <w:szCs w:val="20"/>
              </w:rPr>
              <w:lastRenderedPageBreak/>
              <w:t>Apa penyebab permasalahan tersebut?</w:t>
            </w:r>
          </w:p>
          <w:p w14:paraId="490656C2" w14:textId="77777777" w:rsidR="00DF4AEC" w:rsidRDefault="001916CF">
            <w:pPr>
              <w:spacing w:line="240" w:lineRule="auto"/>
              <w:ind w:left="720"/>
              <w:rPr>
                <w:i/>
                <w:color w:val="434343"/>
                <w:sz w:val="20"/>
                <w:szCs w:val="20"/>
              </w:rPr>
            </w:pPr>
            <w:r>
              <w:rPr>
                <w:i/>
                <w:color w:val="434343"/>
                <w:sz w:val="20"/>
                <w:szCs w:val="20"/>
              </w:rPr>
              <w:t xml:space="preserve">Jabarkan pemahaman Anda tentang penyebab masalah tersebut. Sebaik mungkin, identifikasikan akar permasalahannya. Gunakan alat analisis masalah (cth: problem tree, five whys, diagram fishbone, atau metode terkait lainnya) jika diperlukan dan sertakan bukti saat memungkinkan.  </w:t>
            </w:r>
          </w:p>
          <w:p w14:paraId="133B3722" w14:textId="77777777" w:rsidR="00DF4AEC" w:rsidRDefault="00DF4AEC">
            <w:pPr>
              <w:spacing w:line="240" w:lineRule="auto"/>
              <w:ind w:left="720"/>
              <w:rPr>
                <w:i/>
                <w:color w:val="434343"/>
                <w:sz w:val="20"/>
                <w:szCs w:val="20"/>
              </w:rPr>
            </w:pPr>
          </w:p>
          <w:p w14:paraId="61BEC0FB" w14:textId="73DE93CE" w:rsidR="00DF4AEC" w:rsidRPr="00E20571" w:rsidRDefault="001916CF" w:rsidP="00FE75E8">
            <w:pPr>
              <w:spacing w:line="240" w:lineRule="auto"/>
              <w:jc w:val="both"/>
            </w:pPr>
            <w:r w:rsidRPr="00E20571">
              <w:t xml:space="preserve">Permasalahan </w:t>
            </w:r>
            <w:r w:rsidR="00E20571">
              <w:t>untuk pemulihan korban pelanggaran HAM di Aceh</w:t>
            </w:r>
            <w:r w:rsidR="00D26C91">
              <w:t>,</w:t>
            </w:r>
            <w:r w:rsidRPr="00E20571">
              <w:t xml:space="preserve"> dalam proses penetapan rekomendasi dan pemberian </w:t>
            </w:r>
            <w:r w:rsidR="00D26C91">
              <w:t>r</w:t>
            </w:r>
            <w:r w:rsidRPr="00E20571">
              <w:t>eparasi disebabkan oleh ketiadaan regulasi. Sehingga ketiadaan nomenklatur anggaran, prosedur akses yang birokratis yang tidak ramah korban dan kendala teknis serta non teknis lainnya diantaranya pemilihan, analisa kebutuhan dan rekomendasi kebutuhan kepada pemerintah Aceh. Hal-hal inilah yang menyebabkan penetapan rekomendasi dan pemberian</w:t>
            </w:r>
            <w:r w:rsidR="00D3292A">
              <w:t xml:space="preserve"> r</w:t>
            </w:r>
            <w:r w:rsidRPr="00E20571">
              <w:t xml:space="preserve">eparasi tidak dapat diimplementasikan dengan baik. </w:t>
            </w:r>
          </w:p>
          <w:p w14:paraId="6DFE4EC6" w14:textId="77777777" w:rsidR="00DF4AEC" w:rsidRPr="00E20571" w:rsidRDefault="00DF4AEC">
            <w:pPr>
              <w:spacing w:line="240" w:lineRule="auto"/>
              <w:ind w:left="720"/>
              <w:jc w:val="both"/>
            </w:pPr>
          </w:p>
          <w:p w14:paraId="03C9994B" w14:textId="03C5DA0F" w:rsidR="00064A47" w:rsidRPr="00E20571" w:rsidRDefault="001916CF" w:rsidP="00FE75E8">
            <w:pPr>
              <w:spacing w:line="240" w:lineRule="auto"/>
              <w:jc w:val="both"/>
            </w:pPr>
            <w:r w:rsidRPr="00E20571">
              <w:t xml:space="preserve">Sementara itu, proses penyelesaian kasus-kasus pelanggaran HAM di Indonesia secara yudisial berjalan lamban bahkan tidak memberi keadilan bagi korban. </w:t>
            </w:r>
            <w:r w:rsidR="00243E17">
              <w:t xml:space="preserve">Misalnya untuk pengadilan HAM kasus Tanjung Priok dan Kasus Timor Timur, para pelaku </w:t>
            </w:r>
            <w:r w:rsidR="009F7BD8">
              <w:t xml:space="preserve">utama dibebaskan dan pelaku yang divonis pada pengadilan tingkat pertama akhirnya dibebaskan pada tingkat banding atau kasasi. </w:t>
            </w:r>
            <w:r w:rsidRPr="00E20571">
              <w:t xml:space="preserve">Hal ini dapat meningkatkan ketidakpercayaan korban terhadap negara </w:t>
            </w:r>
            <w:r w:rsidRPr="00E20571">
              <w:lastRenderedPageBreak/>
              <w:t xml:space="preserve">terlebih setelah UU KKR sebelumnya dicabut. Untuk itu pembentukan KKR dapat menjadi salah satu alat yang dapat digunakan untuk korban agar mendapat hak-haknya. </w:t>
            </w:r>
          </w:p>
          <w:p w14:paraId="19B84E01" w14:textId="77777777" w:rsidR="00DF4AEC" w:rsidRDefault="00DF4AEC">
            <w:pPr>
              <w:spacing w:line="240" w:lineRule="auto"/>
              <w:jc w:val="both"/>
              <w:rPr>
                <w:sz w:val="20"/>
                <w:szCs w:val="20"/>
              </w:rPr>
            </w:pPr>
          </w:p>
        </w:tc>
      </w:tr>
    </w:tbl>
    <w:p w14:paraId="4C33BE75" w14:textId="77777777" w:rsidR="00DF4AEC" w:rsidRDefault="00DF4AEC">
      <w:pPr>
        <w:spacing w:after="180" w:line="274" w:lineRule="auto"/>
        <w:jc w:val="both"/>
        <w:rPr>
          <w:sz w:val="21"/>
          <w:szCs w:val="21"/>
        </w:rPr>
      </w:pPr>
    </w:p>
    <w:tbl>
      <w:tblPr>
        <w:tblStyle w:val="ab"/>
        <w:tblW w:w="9445" w:type="dxa"/>
        <w:tblInd w:w="-11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DF4AEC" w14:paraId="43CC102A" w14:textId="77777777">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781E771A" w14:textId="77777777" w:rsidR="00DF4AEC" w:rsidRDefault="001916CF">
            <w:pPr>
              <w:spacing w:line="240" w:lineRule="auto"/>
              <w:jc w:val="both"/>
              <w:rPr>
                <w:b/>
                <w:color w:val="FFFFFF"/>
                <w:sz w:val="20"/>
                <w:szCs w:val="20"/>
              </w:rPr>
            </w:pPr>
            <w:r>
              <w:rPr>
                <w:b/>
                <w:color w:val="FFFFFF"/>
                <w:sz w:val="20"/>
                <w:szCs w:val="20"/>
              </w:rPr>
              <w:t xml:space="preserve">Deskripsi Komitmen </w:t>
            </w:r>
          </w:p>
        </w:tc>
      </w:tr>
      <w:tr w:rsidR="00DF4AEC" w14:paraId="4A5E3A18" w14:textId="77777777">
        <w:tc>
          <w:tcPr>
            <w:tcW w:w="9445" w:type="dxa"/>
            <w:tcBorders>
              <w:top w:val="single" w:sz="4" w:space="0" w:color="000000"/>
              <w:left w:val="single" w:sz="4" w:space="0" w:color="000000"/>
              <w:bottom w:val="single" w:sz="4" w:space="0" w:color="000000"/>
              <w:right w:val="single" w:sz="4" w:space="0" w:color="000000"/>
            </w:tcBorders>
          </w:tcPr>
          <w:p w14:paraId="0694EE82" w14:textId="77777777" w:rsidR="00DF4AEC" w:rsidRDefault="001916CF">
            <w:pPr>
              <w:numPr>
                <w:ilvl w:val="0"/>
                <w:numId w:val="7"/>
              </w:numPr>
              <w:spacing w:line="240" w:lineRule="auto"/>
              <w:rPr>
                <w:b/>
                <w:sz w:val="20"/>
                <w:szCs w:val="20"/>
              </w:rPr>
            </w:pPr>
            <w:r>
              <w:rPr>
                <w:b/>
                <w:sz w:val="20"/>
                <w:szCs w:val="20"/>
              </w:rPr>
              <w:t xml:space="preserve">Apa yang telah dilakukan sejauh ini untuk mengatasi permasalahan tersebut? </w:t>
            </w:r>
          </w:p>
          <w:p w14:paraId="1A8E9D23" w14:textId="77777777" w:rsidR="00DF4AEC" w:rsidRDefault="001916CF">
            <w:pPr>
              <w:spacing w:line="240" w:lineRule="auto"/>
              <w:ind w:left="720"/>
              <w:rPr>
                <w:i/>
                <w:color w:val="434343"/>
                <w:sz w:val="20"/>
                <w:szCs w:val="20"/>
              </w:rPr>
            </w:pPr>
            <w:r>
              <w:rPr>
                <w:i/>
                <w:color w:val="434343"/>
                <w:sz w:val="20"/>
                <w:szCs w:val="20"/>
              </w:rPr>
              <w:t>Solusi apa yang telah diupayakan untuk masalah ini di tahun-tahun sebelumnya? Seberapa sukses upaya tersebut?</w:t>
            </w:r>
          </w:p>
          <w:p w14:paraId="6C2F0C1F" w14:textId="77777777" w:rsidR="00DF4AEC" w:rsidRDefault="00DF4AEC">
            <w:pPr>
              <w:spacing w:line="240" w:lineRule="auto"/>
              <w:ind w:left="720"/>
              <w:rPr>
                <w:i/>
                <w:color w:val="434343"/>
                <w:sz w:val="20"/>
                <w:szCs w:val="20"/>
              </w:rPr>
            </w:pPr>
          </w:p>
          <w:p w14:paraId="63F0FB3E" w14:textId="0C004621" w:rsidR="00DF4AEC" w:rsidRDefault="00064A47">
            <w:pPr>
              <w:spacing w:before="40" w:after="40" w:line="240" w:lineRule="auto"/>
              <w:jc w:val="both"/>
              <w:rPr>
                <w:sz w:val="20"/>
                <w:szCs w:val="20"/>
              </w:rPr>
            </w:pPr>
            <w:r>
              <w:rPr>
                <w:sz w:val="20"/>
                <w:szCs w:val="20"/>
              </w:rPr>
              <w:t xml:space="preserve">DI tingkat Aceh, Yayasan Tifa mendukung upaya </w:t>
            </w:r>
            <w:r w:rsidR="001916CF">
              <w:rPr>
                <w:sz w:val="20"/>
                <w:szCs w:val="20"/>
              </w:rPr>
              <w:t xml:space="preserve">KontraS Aceh </w:t>
            </w:r>
            <w:r>
              <w:rPr>
                <w:sz w:val="20"/>
                <w:szCs w:val="20"/>
              </w:rPr>
              <w:t xml:space="preserve">untuk </w:t>
            </w:r>
            <w:r w:rsidR="001916CF">
              <w:rPr>
                <w:sz w:val="20"/>
                <w:szCs w:val="20"/>
              </w:rPr>
              <w:t xml:space="preserve">ikut memfasilitasi adanya tata cara baku terkait rekomendasi reparasi, meskipun hanya mengikat secara internal KKR Aceh. Selain itu, Gubernur Aceh melalui penetapan 245 orang penerima reparasi mendesak yang tertuang dalam Keputusan Gubernur Aceh Nomor 330/1209/2020 tentang Penetapan Penerima Reparasi Mendesak Pemulihan Hak Korban Pelanggaran HAM yang diterbitkan pada 27 Mei 2020 untuk pemenuhan hak korban atas reparasi berdasarkan rekomendasi KKR Aceh. </w:t>
            </w:r>
            <w:r w:rsidR="001916CF" w:rsidRPr="00037B1A">
              <w:rPr>
                <w:b/>
                <w:sz w:val="20"/>
                <w:szCs w:val="20"/>
              </w:rPr>
              <w:t>Hingga saat ini, rekomendasi tersebut belum dapat dijalankan dengan sempurna sebab ketiadaan regulasi yang menjadi acuan dan mengikat lembaga-lembaga terkait lainnya</w:t>
            </w:r>
            <w:r w:rsidR="001916CF">
              <w:rPr>
                <w:sz w:val="20"/>
                <w:szCs w:val="20"/>
              </w:rPr>
              <w:t>.</w:t>
            </w:r>
          </w:p>
          <w:p w14:paraId="018F0E13" w14:textId="681B9736" w:rsidR="003729AA" w:rsidRDefault="003729AA">
            <w:pPr>
              <w:spacing w:before="40" w:after="40" w:line="240" w:lineRule="auto"/>
              <w:jc w:val="both"/>
              <w:rPr>
                <w:sz w:val="20"/>
                <w:szCs w:val="20"/>
              </w:rPr>
            </w:pPr>
          </w:p>
          <w:p w14:paraId="0584E82F" w14:textId="51137EFB" w:rsidR="003729AA" w:rsidRDefault="003729AA">
            <w:pPr>
              <w:spacing w:before="40" w:after="40" w:line="240" w:lineRule="auto"/>
              <w:jc w:val="both"/>
              <w:rPr>
                <w:sz w:val="20"/>
                <w:szCs w:val="20"/>
              </w:rPr>
            </w:pPr>
            <w:r>
              <w:rPr>
                <w:sz w:val="20"/>
                <w:szCs w:val="20"/>
              </w:rPr>
              <w:t xml:space="preserve">Di tingkat nasional, Yayasan Tifa bersama Yayasan Indonesia untuk kemanusiaan telah menyusun </w:t>
            </w:r>
            <w:r w:rsidRPr="00775DAA">
              <w:rPr>
                <w:b/>
                <w:sz w:val="20"/>
                <w:szCs w:val="20"/>
              </w:rPr>
              <w:t>konsep penyelesaian pelanggaran berat HAM masa lalu dan pemenuhan hak korban dengan melibatkan Organisasi masyarakat sipil, komunitas korban dan pakar dalam proses dialog dan diskusi untuk menemukan konsensus bersama</w:t>
            </w:r>
            <w:r>
              <w:rPr>
                <w:sz w:val="20"/>
                <w:szCs w:val="20"/>
              </w:rPr>
              <w:t>.</w:t>
            </w:r>
            <w:r w:rsidR="004C5D35">
              <w:rPr>
                <w:sz w:val="20"/>
                <w:szCs w:val="20"/>
              </w:rPr>
              <w:t xml:space="preserve"> Hasil rumusan konsep menjadi bahan advokasi ke negara dan pendidikan publik.</w:t>
            </w:r>
          </w:p>
          <w:p w14:paraId="2EE36EA3" w14:textId="77777777" w:rsidR="00DF4AEC" w:rsidRDefault="00DF4AEC">
            <w:pPr>
              <w:spacing w:line="240" w:lineRule="auto"/>
              <w:jc w:val="both"/>
              <w:rPr>
                <w:sz w:val="20"/>
                <w:szCs w:val="20"/>
              </w:rPr>
            </w:pPr>
          </w:p>
          <w:p w14:paraId="66183961" w14:textId="77777777" w:rsidR="00DF4AEC" w:rsidRDefault="00DF4AEC">
            <w:pPr>
              <w:spacing w:line="240" w:lineRule="auto"/>
              <w:ind w:left="720"/>
              <w:jc w:val="both"/>
              <w:rPr>
                <w:sz w:val="20"/>
                <w:szCs w:val="20"/>
              </w:rPr>
            </w:pPr>
          </w:p>
        </w:tc>
      </w:tr>
      <w:tr w:rsidR="00DF4AEC" w14:paraId="1A88A16C" w14:textId="77777777">
        <w:tc>
          <w:tcPr>
            <w:tcW w:w="9445" w:type="dxa"/>
            <w:tcBorders>
              <w:top w:val="single" w:sz="4" w:space="0" w:color="000000"/>
              <w:left w:val="single" w:sz="4" w:space="0" w:color="000000"/>
              <w:bottom w:val="single" w:sz="4" w:space="0" w:color="000000"/>
              <w:right w:val="single" w:sz="4" w:space="0" w:color="000000"/>
            </w:tcBorders>
          </w:tcPr>
          <w:p w14:paraId="1BE78E3A" w14:textId="77777777" w:rsidR="00DF4AEC" w:rsidRDefault="001916CF">
            <w:pPr>
              <w:numPr>
                <w:ilvl w:val="0"/>
                <w:numId w:val="7"/>
              </w:numPr>
              <w:spacing w:line="240" w:lineRule="auto"/>
              <w:rPr>
                <w:b/>
                <w:sz w:val="20"/>
                <w:szCs w:val="20"/>
              </w:rPr>
            </w:pPr>
            <w:r>
              <w:rPr>
                <w:b/>
                <w:sz w:val="20"/>
                <w:szCs w:val="20"/>
              </w:rPr>
              <w:t xml:space="preserve">Solusi apa yang diusulkan? </w:t>
            </w:r>
          </w:p>
          <w:p w14:paraId="1D4802F1" w14:textId="77777777" w:rsidR="00DF4AEC" w:rsidRDefault="001916CF">
            <w:pPr>
              <w:spacing w:line="240" w:lineRule="auto"/>
              <w:ind w:left="720"/>
              <w:rPr>
                <w:i/>
                <w:color w:val="434343"/>
                <w:sz w:val="20"/>
                <w:szCs w:val="20"/>
              </w:rPr>
            </w:pPr>
            <w:r>
              <w:rPr>
                <w:i/>
                <w:color w:val="434343"/>
                <w:sz w:val="20"/>
                <w:szCs w:val="20"/>
              </w:rPr>
              <w:t>Apa yang akan dilakukan untuk memecahkan permasalahannya? Bagaimana solusi ini berbeda dengan upaya-upaya sebelumnya? Dalam cara apa solusi ini akan memecahkan permasalahannya? Bagaimana solusi ini akan memecahkan permasalahannya? Apakah solusi ini akan memecahkan permasalahannya secara keseluruhan atau sebagian? Bagian apa dari masalah akan dipecahkan melalui solusi, jika tidak dipecahkan secara keseluruhan?</w:t>
            </w:r>
          </w:p>
          <w:p w14:paraId="6EA5900B" w14:textId="77777777" w:rsidR="00DF4AEC" w:rsidRDefault="00DF4AEC">
            <w:pPr>
              <w:spacing w:line="240" w:lineRule="auto"/>
              <w:rPr>
                <w:i/>
                <w:color w:val="434343"/>
                <w:sz w:val="20"/>
                <w:szCs w:val="20"/>
              </w:rPr>
            </w:pPr>
          </w:p>
          <w:p w14:paraId="6093F48C" w14:textId="77777777" w:rsidR="00DF4AEC" w:rsidRDefault="001916CF">
            <w:pPr>
              <w:numPr>
                <w:ilvl w:val="0"/>
                <w:numId w:val="1"/>
              </w:numPr>
              <w:spacing w:before="40" w:after="240" w:line="240" w:lineRule="auto"/>
              <w:jc w:val="both"/>
              <w:rPr>
                <w:i/>
                <w:color w:val="434343"/>
                <w:sz w:val="20"/>
                <w:szCs w:val="20"/>
              </w:rPr>
            </w:pPr>
            <w:r>
              <w:rPr>
                <w:i/>
                <w:color w:val="434343"/>
                <w:sz w:val="20"/>
                <w:szCs w:val="20"/>
              </w:rPr>
              <w:t xml:space="preserve">Adanya produk hukum lokal dan </w:t>
            </w:r>
            <w:r w:rsidRPr="00CC154F">
              <w:rPr>
                <w:b/>
                <w:i/>
                <w:color w:val="434343"/>
                <w:sz w:val="20"/>
                <w:szCs w:val="20"/>
              </w:rPr>
              <w:t>nasional</w:t>
            </w:r>
            <w:r>
              <w:rPr>
                <w:i/>
                <w:color w:val="434343"/>
                <w:sz w:val="20"/>
                <w:szCs w:val="20"/>
              </w:rPr>
              <w:t xml:space="preserve"> terkait mekanisme pelaksanaan reparasi bagi korban pelanggaran HAM di Aceh.</w:t>
            </w:r>
          </w:p>
          <w:p w14:paraId="2719971F" w14:textId="77777777" w:rsidR="00DF4AEC" w:rsidRDefault="001916CF">
            <w:pPr>
              <w:spacing w:before="40" w:after="240" w:line="240" w:lineRule="auto"/>
              <w:ind w:left="720"/>
              <w:jc w:val="both"/>
              <w:rPr>
                <w:i/>
                <w:color w:val="434343"/>
                <w:sz w:val="20"/>
                <w:szCs w:val="20"/>
              </w:rPr>
            </w:pPr>
            <w:r w:rsidRPr="00AA292A">
              <w:rPr>
                <w:b/>
                <w:i/>
                <w:color w:val="434343"/>
              </w:rPr>
              <w:t>Adanya kebijakan pemulihan korban di Aceh akan memberi pengakuan negara atas pengungkapan kebenaran yang dikerjakan oleh KKR Aceh dan menjadi landasan pemenuhan hak korban</w:t>
            </w:r>
            <w:r>
              <w:rPr>
                <w:i/>
                <w:color w:val="434343"/>
                <w:sz w:val="20"/>
                <w:szCs w:val="20"/>
              </w:rPr>
              <w:t>.</w:t>
            </w:r>
          </w:p>
          <w:p w14:paraId="1BC74832" w14:textId="77777777" w:rsidR="00DF4AEC" w:rsidRDefault="001916CF">
            <w:pPr>
              <w:numPr>
                <w:ilvl w:val="0"/>
                <w:numId w:val="1"/>
              </w:numPr>
              <w:spacing w:before="40" w:after="240" w:line="240" w:lineRule="auto"/>
              <w:jc w:val="both"/>
              <w:rPr>
                <w:i/>
                <w:color w:val="434343"/>
                <w:sz w:val="20"/>
                <w:szCs w:val="20"/>
              </w:rPr>
            </w:pPr>
            <w:r>
              <w:rPr>
                <w:i/>
                <w:color w:val="434343"/>
                <w:sz w:val="20"/>
                <w:szCs w:val="20"/>
              </w:rPr>
              <w:t>DPR segera menjadikan RUU KKR sebagai prioritas.</w:t>
            </w:r>
          </w:p>
          <w:p w14:paraId="47296807" w14:textId="41EBB9A2" w:rsidR="00165155" w:rsidRPr="005C594A" w:rsidRDefault="001916CF" w:rsidP="005C594A">
            <w:pPr>
              <w:spacing w:before="40" w:after="240" w:line="240" w:lineRule="auto"/>
              <w:ind w:left="720"/>
              <w:jc w:val="both"/>
              <w:rPr>
                <w:iCs/>
                <w:color w:val="434343"/>
              </w:rPr>
            </w:pPr>
            <w:r w:rsidRPr="00F41C02">
              <w:rPr>
                <w:iCs/>
                <w:color w:val="434343"/>
              </w:rPr>
              <w:t>Disahkannya RUU KKR akan menjadi dasar pengungkapan kebenaran atas peristiwa pelanggaran HAM berat di masa lalu (hingga UU tahun 26/2000 disahkan) dan memenuhi hak korban atas kebenaran. Kerja KKR akan menjadi bahan pendidikan bagi publik dan aparatur negara sehingga peristiwa serupa tidak terulang lagi di masa depan. Langkah awal sebelum disahkannya RUU ini adalah menjadikannya sebagai prioritas di DPR.</w:t>
            </w:r>
            <w:bookmarkStart w:id="1" w:name="_GoBack"/>
            <w:bookmarkEnd w:id="1"/>
          </w:p>
        </w:tc>
      </w:tr>
      <w:tr w:rsidR="00DF4AEC" w14:paraId="5E61BD9E" w14:textId="77777777">
        <w:tc>
          <w:tcPr>
            <w:tcW w:w="9445" w:type="dxa"/>
            <w:tcBorders>
              <w:top w:val="single" w:sz="4" w:space="0" w:color="000000"/>
              <w:left w:val="single" w:sz="4" w:space="0" w:color="000000"/>
              <w:bottom w:val="single" w:sz="4" w:space="0" w:color="000000"/>
              <w:right w:val="single" w:sz="4" w:space="0" w:color="000000"/>
            </w:tcBorders>
          </w:tcPr>
          <w:p w14:paraId="06A56DA7" w14:textId="77777777" w:rsidR="00DF4AEC" w:rsidRDefault="001916CF">
            <w:pPr>
              <w:numPr>
                <w:ilvl w:val="0"/>
                <w:numId w:val="7"/>
              </w:numPr>
              <w:spacing w:line="240" w:lineRule="auto"/>
              <w:rPr>
                <w:i/>
                <w:color w:val="434343"/>
                <w:sz w:val="20"/>
                <w:szCs w:val="20"/>
              </w:rPr>
            </w:pPr>
            <w:r>
              <w:rPr>
                <w:b/>
                <w:sz w:val="20"/>
                <w:szCs w:val="20"/>
              </w:rPr>
              <w:t xml:space="preserve">Hasil apa yang ingin dicapai dengan mengimplementasi komitmen ini? </w:t>
            </w:r>
          </w:p>
          <w:p w14:paraId="136C42BD" w14:textId="77777777" w:rsidR="00DF4AEC" w:rsidRDefault="001916CF">
            <w:pPr>
              <w:spacing w:line="240" w:lineRule="auto"/>
              <w:ind w:left="720"/>
              <w:rPr>
                <w:i/>
                <w:color w:val="434343"/>
                <w:sz w:val="20"/>
                <w:szCs w:val="20"/>
              </w:rPr>
            </w:pPr>
            <w:r>
              <w:rPr>
                <w:i/>
                <w:color w:val="434343"/>
                <w:sz w:val="20"/>
                <w:szCs w:val="20"/>
              </w:rPr>
              <w:t xml:space="preserve">Output apa yang ingin dihasilkan? Perubahan apa dalam pengetahuan, keterampilan, dan kapasitas yang ingin dicapai? Perubahan apa dalam perilaku, sistem, dan praktik yang ingin dihasilkan? </w:t>
            </w:r>
          </w:p>
          <w:p w14:paraId="3B490070" w14:textId="77777777" w:rsidR="00DF4AEC" w:rsidRDefault="00DF4AEC">
            <w:pPr>
              <w:spacing w:line="240" w:lineRule="auto"/>
              <w:ind w:left="720"/>
              <w:rPr>
                <w:i/>
                <w:color w:val="434343"/>
                <w:sz w:val="20"/>
                <w:szCs w:val="20"/>
              </w:rPr>
            </w:pPr>
          </w:p>
          <w:p w14:paraId="39ADA3D1" w14:textId="77777777" w:rsidR="000463F3" w:rsidRDefault="001916CF" w:rsidP="000463F3">
            <w:pPr>
              <w:numPr>
                <w:ilvl w:val="0"/>
                <w:numId w:val="2"/>
              </w:numPr>
              <w:spacing w:before="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Adanya produk kebijakan terkait dengan panduan pemberian rekomendasi dan pelaksanaan reparasi korban pelanggaran HAM masa lalu. </w:t>
            </w:r>
          </w:p>
          <w:p w14:paraId="497626EB" w14:textId="50BAE302" w:rsidR="00DF4AEC" w:rsidRPr="00CC5221" w:rsidRDefault="001916CF" w:rsidP="00CC5221">
            <w:pPr>
              <w:numPr>
                <w:ilvl w:val="0"/>
                <w:numId w:val="2"/>
              </w:numPr>
              <w:spacing w:before="40" w:line="240" w:lineRule="auto"/>
              <w:jc w:val="both"/>
              <w:rPr>
                <w:rFonts w:ascii="Times New Roman" w:eastAsia="Times New Roman" w:hAnsi="Times New Roman" w:cs="Times New Roman"/>
                <w:sz w:val="24"/>
                <w:szCs w:val="24"/>
              </w:rPr>
            </w:pPr>
            <w:r w:rsidRPr="000463F3">
              <w:rPr>
                <w:rFonts w:ascii="Times New Roman" w:eastAsia="Times New Roman" w:hAnsi="Times New Roman" w:cs="Times New Roman"/>
                <w:sz w:val="24"/>
                <w:szCs w:val="24"/>
              </w:rPr>
              <w:t>RUU KKR masuk dalam program legislasi Nasiona</w:t>
            </w:r>
            <w:r w:rsidR="00D9142F">
              <w:rPr>
                <w:rFonts w:ascii="Times New Roman" w:eastAsia="Times New Roman" w:hAnsi="Times New Roman" w:cs="Times New Roman"/>
                <w:sz w:val="24"/>
                <w:szCs w:val="24"/>
              </w:rPr>
              <w:t xml:space="preserve">l. Ini akan menjadi </w:t>
            </w:r>
            <w:r w:rsidR="000463F3">
              <w:rPr>
                <w:rFonts w:ascii="Times New Roman" w:eastAsia="Times New Roman" w:hAnsi="Times New Roman" w:cs="Times New Roman"/>
                <w:sz w:val="24"/>
                <w:szCs w:val="24"/>
              </w:rPr>
              <w:t>jalan menuju</w:t>
            </w:r>
            <w:r w:rsidR="000463F3" w:rsidRPr="000463F3">
              <w:rPr>
                <w:rFonts w:ascii="Times New Roman" w:eastAsia="Times New Roman" w:hAnsi="Times New Roman" w:cs="Times New Roman"/>
                <w:sz w:val="24"/>
                <w:szCs w:val="24"/>
              </w:rPr>
              <w:t xml:space="preserve"> </w:t>
            </w:r>
            <w:r w:rsidR="000463F3" w:rsidRPr="000463F3">
              <w:rPr>
                <w:iCs/>
                <w:color w:val="434343"/>
              </w:rPr>
              <w:t xml:space="preserve">adanya </w:t>
            </w:r>
            <w:r w:rsidR="005B70BA">
              <w:rPr>
                <w:iCs/>
                <w:color w:val="434343"/>
              </w:rPr>
              <w:t>kebijakan pengu</w:t>
            </w:r>
            <w:r w:rsidR="00DB6388">
              <w:rPr>
                <w:iCs/>
                <w:color w:val="434343"/>
              </w:rPr>
              <w:t>ngkapan kebenaran dan rekonsiliasi</w:t>
            </w:r>
            <w:r w:rsidR="000463F3" w:rsidRPr="000463F3">
              <w:rPr>
                <w:iCs/>
                <w:color w:val="434343"/>
              </w:rPr>
              <w:t xml:space="preserve"> di level nasional,</w:t>
            </w:r>
            <w:r w:rsidR="000463F3" w:rsidRPr="000463F3">
              <w:rPr>
                <w:iCs/>
                <w:color w:val="000000"/>
              </w:rPr>
              <w:t xml:space="preserve"> </w:t>
            </w:r>
            <w:r w:rsidR="00DB6388">
              <w:rPr>
                <w:iCs/>
                <w:color w:val="000000"/>
              </w:rPr>
              <w:t>akan membawa</w:t>
            </w:r>
            <w:r w:rsidR="000463F3" w:rsidRPr="000463F3">
              <w:rPr>
                <w:iCs/>
                <w:color w:val="000000"/>
              </w:rPr>
              <w:t xml:space="preserve"> perubahan yang diharapka</w:t>
            </w:r>
            <w:r w:rsidR="00DB6388">
              <w:rPr>
                <w:iCs/>
                <w:color w:val="000000"/>
              </w:rPr>
              <w:t>n</w:t>
            </w:r>
            <w:r w:rsidR="000463F3" w:rsidRPr="000463F3">
              <w:rPr>
                <w:iCs/>
                <w:color w:val="000000"/>
              </w:rPr>
              <w:t xml:space="preserve"> berlanjut dengan proses pengakuan kesalahan, permintaan maaf, pemberian maaf, perdamaian, penegakan hukum, </w:t>
            </w:r>
            <w:r w:rsidR="00147862">
              <w:rPr>
                <w:iCs/>
                <w:color w:val="000000"/>
              </w:rPr>
              <w:t xml:space="preserve">pemulihan korban, </w:t>
            </w:r>
            <w:r w:rsidR="000463F3" w:rsidRPr="000463F3">
              <w:rPr>
                <w:iCs/>
                <w:color w:val="000000"/>
              </w:rPr>
              <w:t>rehabilitasi, atau alternatif lain yang bermanfaat untuk menegakkan persatuan dan kesatuan bangsa, dengan sepenuhnya memerhatikan rasa keadilan dalam masyarakat.</w:t>
            </w:r>
          </w:p>
          <w:p w14:paraId="54BFD52B" w14:textId="77777777" w:rsidR="00DF4AEC" w:rsidRDefault="00DF4AEC">
            <w:pPr>
              <w:spacing w:line="240" w:lineRule="auto"/>
              <w:rPr>
                <w:sz w:val="20"/>
                <w:szCs w:val="20"/>
              </w:rPr>
            </w:pPr>
          </w:p>
        </w:tc>
      </w:tr>
    </w:tbl>
    <w:p w14:paraId="66B43EEC" w14:textId="77777777" w:rsidR="00DF4AEC" w:rsidRDefault="00DF4AEC">
      <w:pPr>
        <w:spacing w:after="180" w:line="274" w:lineRule="auto"/>
        <w:jc w:val="both"/>
        <w:rPr>
          <w:sz w:val="21"/>
          <w:szCs w:val="21"/>
        </w:rPr>
      </w:pPr>
    </w:p>
    <w:tbl>
      <w:tblPr>
        <w:tblStyle w:val="ac"/>
        <w:tblW w:w="9450" w:type="dxa"/>
        <w:tblInd w:w="-11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3810"/>
        <w:gridCol w:w="5640"/>
      </w:tblGrid>
      <w:tr w:rsidR="00DF4AEC" w14:paraId="1D578857" w14:textId="77777777">
        <w:tc>
          <w:tcPr>
            <w:tcW w:w="9450" w:type="dxa"/>
            <w:gridSpan w:val="2"/>
            <w:tcBorders>
              <w:top w:val="single" w:sz="4" w:space="0" w:color="000000"/>
              <w:left w:val="single" w:sz="4" w:space="0" w:color="000000"/>
              <w:bottom w:val="single" w:sz="4" w:space="0" w:color="000000"/>
              <w:right w:val="single" w:sz="4" w:space="0" w:color="000000"/>
            </w:tcBorders>
            <w:shd w:val="clear" w:color="auto" w:fill="666666"/>
          </w:tcPr>
          <w:p w14:paraId="2BDECC7C" w14:textId="77777777" w:rsidR="00DF4AEC" w:rsidRDefault="001916CF">
            <w:pPr>
              <w:pBdr>
                <w:top w:val="nil"/>
                <w:left w:val="nil"/>
                <w:bottom w:val="nil"/>
                <w:right w:val="nil"/>
                <w:between w:val="nil"/>
              </w:pBdr>
              <w:spacing w:line="240" w:lineRule="auto"/>
              <w:jc w:val="both"/>
              <w:rPr>
                <w:b/>
                <w:color w:val="FFFFFF"/>
                <w:sz w:val="20"/>
                <w:szCs w:val="20"/>
              </w:rPr>
            </w:pPr>
            <w:r>
              <w:rPr>
                <w:b/>
                <w:color w:val="FFFFFF"/>
                <w:sz w:val="20"/>
                <w:szCs w:val="20"/>
              </w:rPr>
              <w:t xml:space="preserve">Analisa Komitmen </w:t>
            </w:r>
          </w:p>
        </w:tc>
      </w:tr>
      <w:tr w:rsidR="00DF4AEC" w14:paraId="7A5AA323"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42163C89" w14:textId="77777777" w:rsidR="00DF4AEC" w:rsidRDefault="001916CF">
            <w:pPr>
              <w:spacing w:line="240" w:lineRule="auto"/>
              <w:jc w:val="both"/>
              <w:rPr>
                <w:sz w:val="20"/>
                <w:szCs w:val="20"/>
              </w:rPr>
            </w:pPr>
            <w:r>
              <w:rPr>
                <w:sz w:val="20"/>
                <w:szCs w:val="20"/>
              </w:rPr>
              <w:t>Pertanyaan</w:t>
            </w:r>
          </w:p>
        </w:tc>
        <w:tc>
          <w:tcPr>
            <w:tcW w:w="5640" w:type="dxa"/>
            <w:tcBorders>
              <w:top w:val="single" w:sz="4" w:space="0" w:color="000000"/>
              <w:left w:val="single" w:sz="4" w:space="0" w:color="000000"/>
              <w:bottom w:val="single" w:sz="4" w:space="0" w:color="000000"/>
              <w:right w:val="single" w:sz="4" w:space="0" w:color="000000"/>
            </w:tcBorders>
          </w:tcPr>
          <w:p w14:paraId="6A1D1FD2" w14:textId="77777777" w:rsidR="00DF4AEC" w:rsidRDefault="001916CF">
            <w:pPr>
              <w:spacing w:line="240" w:lineRule="auto"/>
              <w:jc w:val="both"/>
              <w:rPr>
                <w:sz w:val="20"/>
                <w:szCs w:val="20"/>
              </w:rPr>
            </w:pPr>
            <w:r>
              <w:rPr>
                <w:sz w:val="20"/>
                <w:szCs w:val="20"/>
              </w:rPr>
              <w:t xml:space="preserve">Jawaban (jika tidak berlaku, isi dengan </w:t>
            </w:r>
            <w:r>
              <w:rPr>
                <w:i/>
                <w:sz w:val="20"/>
                <w:szCs w:val="20"/>
              </w:rPr>
              <w:t>N/A</w:t>
            </w:r>
            <w:r>
              <w:rPr>
                <w:sz w:val="20"/>
                <w:szCs w:val="20"/>
              </w:rPr>
              <w:t>)</w:t>
            </w:r>
          </w:p>
        </w:tc>
      </w:tr>
      <w:tr w:rsidR="00DF4AEC" w14:paraId="424159E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02316C7B" w14:textId="77777777" w:rsidR="00DF4AEC" w:rsidRDefault="001916CF">
            <w:pPr>
              <w:numPr>
                <w:ilvl w:val="0"/>
                <w:numId w:val="4"/>
              </w:numPr>
              <w:spacing w:line="240" w:lineRule="auto"/>
              <w:rPr>
                <w:sz w:val="20"/>
                <w:szCs w:val="20"/>
              </w:rPr>
            </w:pPr>
            <w:r>
              <w:rPr>
                <w:sz w:val="20"/>
                <w:szCs w:val="20"/>
              </w:rPr>
              <w:t>Bagaimana komitmen ini akan mendorong transparansi?</w:t>
            </w:r>
          </w:p>
          <w:p w14:paraId="3D1B5A6A" w14:textId="77777777" w:rsidR="00DF4AEC" w:rsidRDefault="001916CF">
            <w:pPr>
              <w:spacing w:line="240" w:lineRule="auto"/>
              <w:rPr>
                <w:i/>
                <w:color w:val="434343"/>
                <w:sz w:val="20"/>
                <w:szCs w:val="20"/>
              </w:rPr>
            </w:pPr>
            <w:r>
              <w:rPr>
                <w:i/>
                <w:color w:val="434343"/>
                <w:sz w:val="20"/>
                <w:szCs w:val="20"/>
              </w:rPr>
              <w:t>Bagaimana komitmen ini akan meningkatkan akses masyarakat terhadap informasi dan data? Bagaimana komitmen ini akan membuat pemerintah lebih transparan terhadap masyarakat?</w:t>
            </w:r>
          </w:p>
          <w:p w14:paraId="5D686309" w14:textId="77777777" w:rsidR="00DF4AEC" w:rsidRDefault="00DF4AEC">
            <w:pPr>
              <w:spacing w:line="240" w:lineRule="auto"/>
              <w:rPr>
                <w:i/>
                <w:color w:val="434343"/>
                <w:sz w:val="20"/>
                <w:szCs w:val="20"/>
              </w:rPr>
            </w:pPr>
          </w:p>
        </w:tc>
        <w:tc>
          <w:tcPr>
            <w:tcW w:w="5640" w:type="dxa"/>
            <w:tcBorders>
              <w:top w:val="single" w:sz="4" w:space="0" w:color="000000"/>
              <w:left w:val="single" w:sz="4" w:space="0" w:color="000000"/>
              <w:bottom w:val="single" w:sz="4" w:space="0" w:color="000000"/>
              <w:right w:val="single" w:sz="4" w:space="0" w:color="000000"/>
            </w:tcBorders>
          </w:tcPr>
          <w:p w14:paraId="08AC288A" w14:textId="77777777" w:rsidR="00DF4AEC" w:rsidRDefault="00DF4AEC">
            <w:pPr>
              <w:spacing w:line="240" w:lineRule="auto"/>
              <w:jc w:val="both"/>
              <w:rPr>
                <w:b/>
                <w:sz w:val="20"/>
                <w:szCs w:val="20"/>
              </w:rPr>
            </w:pPr>
          </w:p>
          <w:p w14:paraId="4F9BE88F" w14:textId="77777777" w:rsidR="00DF4AEC" w:rsidRDefault="001916CF">
            <w:pPr>
              <w:spacing w:line="240" w:lineRule="auto"/>
              <w:jc w:val="both"/>
              <w:rPr>
                <w:sz w:val="20"/>
                <w:szCs w:val="20"/>
              </w:rPr>
            </w:pPr>
            <w:r>
              <w:rPr>
                <w:sz w:val="20"/>
                <w:szCs w:val="20"/>
              </w:rPr>
              <w:t xml:space="preserve">Komitmen ini relevan dengan nilai-nilai keterbukaan pemerintah karena mendorong adanya pengungkapan kebenaran yang bisa menjadi dasar bagi pemenuhan hak korban atas kebenaran dan reparasi serta bisa menjadi landasan untuk pembelajaran publik dan reformasi kelembagaan. </w:t>
            </w:r>
          </w:p>
          <w:p w14:paraId="2B359928" w14:textId="77777777" w:rsidR="00DF4AEC" w:rsidRDefault="001916CF">
            <w:pPr>
              <w:spacing w:line="240" w:lineRule="auto"/>
              <w:jc w:val="both"/>
              <w:rPr>
                <w:sz w:val="20"/>
                <w:szCs w:val="20"/>
              </w:rPr>
            </w:pPr>
            <w:r>
              <w:rPr>
                <w:sz w:val="20"/>
                <w:szCs w:val="20"/>
              </w:rPr>
              <w:t>.</w:t>
            </w:r>
          </w:p>
        </w:tc>
      </w:tr>
      <w:tr w:rsidR="00DF4AEC" w14:paraId="2DF6065B"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602248CF" w14:textId="77777777" w:rsidR="00DF4AEC" w:rsidRDefault="001916CF">
            <w:pPr>
              <w:numPr>
                <w:ilvl w:val="0"/>
                <w:numId w:val="4"/>
              </w:numPr>
              <w:spacing w:line="240" w:lineRule="auto"/>
              <w:rPr>
                <w:sz w:val="20"/>
                <w:szCs w:val="20"/>
              </w:rPr>
            </w:pPr>
            <w:r>
              <w:rPr>
                <w:sz w:val="20"/>
                <w:szCs w:val="20"/>
              </w:rPr>
              <w:t>Bagaimana komitmen ini akan menumbuhkan akuntabilitas?</w:t>
            </w:r>
          </w:p>
          <w:p w14:paraId="1E5003E5" w14:textId="77777777" w:rsidR="00DF4AEC" w:rsidRDefault="001916CF">
            <w:pPr>
              <w:spacing w:line="240" w:lineRule="auto"/>
              <w:rPr>
                <w:i/>
                <w:color w:val="434343"/>
                <w:sz w:val="20"/>
                <w:szCs w:val="20"/>
              </w:rPr>
            </w:pPr>
            <w:r>
              <w:rPr>
                <w:i/>
                <w:color w:val="434343"/>
                <w:sz w:val="20"/>
                <w:szCs w:val="20"/>
              </w:rPr>
              <w:t xml:space="preserve">Bagaimana komitmen ini akan membantu institusi publik menjadi lebih akuntabel terhadap masyarakat? Bagaimana komitmen ini akan memfasilitasi kemampuan masyarakat untuk mempelajari kemajuan dari implementasi? Bagaimana komitmen ini akan mendukung sistem monitoring dan evaluasi yang transparan? </w:t>
            </w:r>
          </w:p>
        </w:tc>
        <w:tc>
          <w:tcPr>
            <w:tcW w:w="5640" w:type="dxa"/>
            <w:tcBorders>
              <w:top w:val="single" w:sz="4" w:space="0" w:color="000000"/>
              <w:left w:val="single" w:sz="4" w:space="0" w:color="000000"/>
              <w:bottom w:val="single" w:sz="4" w:space="0" w:color="000000"/>
              <w:right w:val="single" w:sz="4" w:space="0" w:color="000000"/>
            </w:tcBorders>
          </w:tcPr>
          <w:p w14:paraId="7EB221BC" w14:textId="77777777" w:rsidR="00DF4AEC" w:rsidRDefault="00DF4AEC">
            <w:pPr>
              <w:spacing w:line="240" w:lineRule="auto"/>
              <w:jc w:val="both"/>
              <w:rPr>
                <w:sz w:val="20"/>
                <w:szCs w:val="20"/>
              </w:rPr>
            </w:pPr>
          </w:p>
          <w:p w14:paraId="12C51652" w14:textId="77777777" w:rsidR="00DF4AEC" w:rsidRDefault="001916CF">
            <w:pPr>
              <w:spacing w:after="240" w:line="240" w:lineRule="auto"/>
              <w:ind w:left="280"/>
              <w:jc w:val="both"/>
              <w:rPr>
                <w:sz w:val="20"/>
                <w:szCs w:val="20"/>
              </w:rPr>
            </w:pPr>
            <w:r>
              <w:rPr>
                <w:sz w:val="20"/>
                <w:szCs w:val="20"/>
              </w:rPr>
              <w:t>Komitmen ini membantu terwujudnya pemenuhan akses terhadap keadilan dan terpenuhinya hak-hak korban pelanggaran HAM atas kebenaran dan reparasi yang komprehensif, serta reformasi lembaga keamanan dan pertahanan untuk lebih taat pada konsitusi dan nilai-nilai HAM.</w:t>
            </w:r>
          </w:p>
        </w:tc>
      </w:tr>
      <w:tr w:rsidR="00DF4AEC" w14:paraId="5DBB4FD3"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525E9E3C" w14:textId="77777777" w:rsidR="00DF4AEC" w:rsidRDefault="001916CF">
            <w:pPr>
              <w:numPr>
                <w:ilvl w:val="0"/>
                <w:numId w:val="4"/>
              </w:numPr>
              <w:spacing w:line="240" w:lineRule="auto"/>
              <w:rPr>
                <w:i/>
                <w:color w:val="434343"/>
                <w:sz w:val="20"/>
                <w:szCs w:val="20"/>
              </w:rPr>
            </w:pPr>
            <w:r>
              <w:rPr>
                <w:sz w:val="20"/>
                <w:szCs w:val="20"/>
              </w:rPr>
              <w:t>Bagaimana komitmen ini akan meningkatkan partisipasi masyarakat dalam mendefinisikan, mengimplementasikan, dan memonitor solusi?</w:t>
            </w:r>
            <w:r>
              <w:rPr>
                <w:i/>
                <w:color w:val="434343"/>
                <w:sz w:val="20"/>
                <w:szCs w:val="20"/>
              </w:rPr>
              <w:t xml:space="preserve"> </w:t>
            </w:r>
          </w:p>
          <w:p w14:paraId="12E94116" w14:textId="77777777" w:rsidR="00DF4AEC" w:rsidRDefault="001916CF">
            <w:pPr>
              <w:spacing w:line="240" w:lineRule="auto"/>
              <w:rPr>
                <w:i/>
                <w:color w:val="434343"/>
                <w:sz w:val="20"/>
                <w:szCs w:val="20"/>
              </w:rPr>
            </w:pPr>
            <w:r>
              <w:rPr>
                <w:i/>
                <w:color w:val="434343"/>
                <w:sz w:val="20"/>
                <w:szCs w:val="20"/>
              </w:rPr>
              <w:t xml:space="preserve">Bagaimana komitmen ini akan melibatkan masyarakat dan kelompok masyarakat secara proaktif? </w:t>
            </w:r>
          </w:p>
        </w:tc>
        <w:tc>
          <w:tcPr>
            <w:tcW w:w="5640" w:type="dxa"/>
            <w:tcBorders>
              <w:top w:val="single" w:sz="4" w:space="0" w:color="000000"/>
              <w:left w:val="single" w:sz="4" w:space="0" w:color="000000"/>
              <w:bottom w:val="single" w:sz="4" w:space="0" w:color="000000"/>
              <w:right w:val="single" w:sz="4" w:space="0" w:color="000000"/>
            </w:tcBorders>
          </w:tcPr>
          <w:p w14:paraId="1972A1F1" w14:textId="7EF937FA" w:rsidR="00DF4AEC" w:rsidRPr="002D7F2F" w:rsidRDefault="00C6767D">
            <w:pPr>
              <w:spacing w:line="240" w:lineRule="auto"/>
              <w:jc w:val="both"/>
              <w:rPr>
                <w:bCs/>
                <w:sz w:val="20"/>
                <w:szCs w:val="20"/>
              </w:rPr>
            </w:pPr>
            <w:r w:rsidRPr="002D7F2F">
              <w:rPr>
                <w:bCs/>
                <w:sz w:val="20"/>
                <w:szCs w:val="20"/>
              </w:rPr>
              <w:t xml:space="preserve">Partisipasi masyarakat </w:t>
            </w:r>
            <w:r w:rsidR="002D7F2F" w:rsidRPr="002D7F2F">
              <w:rPr>
                <w:bCs/>
                <w:sz w:val="20"/>
                <w:szCs w:val="20"/>
              </w:rPr>
              <w:t xml:space="preserve">lewat pendidikan publik dan kampanye yang telah </w:t>
            </w:r>
            <w:r w:rsidR="00DD52B5">
              <w:rPr>
                <w:bCs/>
                <w:sz w:val="20"/>
                <w:szCs w:val="20"/>
              </w:rPr>
              <w:t>maupun</w:t>
            </w:r>
            <w:r w:rsidR="002D7F2F" w:rsidRPr="002D7F2F">
              <w:rPr>
                <w:bCs/>
                <w:sz w:val="20"/>
                <w:szCs w:val="20"/>
              </w:rPr>
              <w:t xml:space="preserve"> akan dilakukan oleh Yayasan Tifa, KontraS Aceh dan Yayasan Indonesia untuk Kemanusiaan</w:t>
            </w:r>
            <w:r w:rsidR="00DD52B5">
              <w:rPr>
                <w:bCs/>
                <w:sz w:val="20"/>
                <w:szCs w:val="20"/>
              </w:rPr>
              <w:t xml:space="preserve"> akan me</w:t>
            </w:r>
            <w:r w:rsidR="00E31030">
              <w:rPr>
                <w:bCs/>
                <w:sz w:val="20"/>
                <w:szCs w:val="20"/>
              </w:rPr>
              <w:t>njangkau masyarakat khususnya pemuda untuk me</w:t>
            </w:r>
            <w:r w:rsidR="00076B70">
              <w:rPr>
                <w:bCs/>
                <w:sz w:val="20"/>
                <w:szCs w:val="20"/>
              </w:rPr>
              <w:t xml:space="preserve">ngetahui informasi tentang </w:t>
            </w:r>
            <w:r w:rsidR="000F6E9C">
              <w:rPr>
                <w:bCs/>
                <w:sz w:val="20"/>
                <w:szCs w:val="20"/>
              </w:rPr>
              <w:t xml:space="preserve">peristiwa kekerasan dan pelanggaran HAM masa lalu. </w:t>
            </w:r>
            <w:r w:rsidR="00BB25D7">
              <w:rPr>
                <w:bCs/>
                <w:sz w:val="20"/>
                <w:szCs w:val="20"/>
              </w:rPr>
              <w:t xml:space="preserve">Selain itu, jaringan koalisi OMS yang digawangi oleh Indonesia untuk Kemanusiaan akan mengawal setiap proses </w:t>
            </w:r>
            <w:r w:rsidR="001916CF">
              <w:rPr>
                <w:bCs/>
                <w:sz w:val="20"/>
                <w:szCs w:val="20"/>
              </w:rPr>
              <w:t>pelaksanaan komitmen ini.</w:t>
            </w:r>
          </w:p>
        </w:tc>
      </w:tr>
    </w:tbl>
    <w:p w14:paraId="75F2311C" w14:textId="77777777" w:rsidR="00DF4AEC" w:rsidRDefault="00DF4AEC">
      <w:pPr>
        <w:spacing w:after="180" w:line="274" w:lineRule="auto"/>
        <w:jc w:val="both"/>
        <w:rPr>
          <w:sz w:val="21"/>
          <w:szCs w:val="21"/>
        </w:rPr>
      </w:pPr>
    </w:p>
    <w:tbl>
      <w:tblPr>
        <w:tblStyle w:val="ad"/>
        <w:tblW w:w="9493" w:type="dxa"/>
        <w:tblInd w:w="-11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2365"/>
        <w:gridCol w:w="2017"/>
        <w:gridCol w:w="1709"/>
        <w:gridCol w:w="1104"/>
        <w:gridCol w:w="1149"/>
        <w:gridCol w:w="1149"/>
      </w:tblGrid>
      <w:tr w:rsidR="00DF4AEC" w14:paraId="0E1AE425" w14:textId="77777777">
        <w:trPr>
          <w:trHeight w:val="210"/>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666666"/>
          </w:tcPr>
          <w:p w14:paraId="6752E8BE" w14:textId="77777777" w:rsidR="00DF4AEC" w:rsidRDefault="001916CF">
            <w:pPr>
              <w:spacing w:line="240" w:lineRule="auto"/>
              <w:jc w:val="both"/>
              <w:rPr>
                <w:b/>
                <w:color w:val="FFFFFF"/>
                <w:sz w:val="21"/>
                <w:szCs w:val="21"/>
              </w:rPr>
            </w:pPr>
            <w:r>
              <w:rPr>
                <w:b/>
                <w:color w:val="FFFFFF"/>
                <w:sz w:val="21"/>
                <w:szCs w:val="21"/>
              </w:rPr>
              <w:t xml:space="preserve">Perencanaan Komitmen  </w:t>
            </w:r>
          </w:p>
          <w:p w14:paraId="72B7BEAD" w14:textId="77777777" w:rsidR="00DF4AEC" w:rsidRDefault="001916CF">
            <w:pPr>
              <w:spacing w:line="240" w:lineRule="auto"/>
              <w:jc w:val="both"/>
              <w:rPr>
                <w:color w:val="FFFFFF"/>
                <w:sz w:val="21"/>
                <w:szCs w:val="21"/>
              </w:rPr>
            </w:pPr>
            <w:bookmarkStart w:id="2" w:name="_heading=h.1fob9te" w:colFirst="0" w:colLast="0"/>
            <w:bookmarkEnd w:id="2"/>
            <w:r>
              <w:rPr>
                <w:i/>
                <w:color w:val="FFFFFF"/>
                <w:sz w:val="20"/>
                <w:szCs w:val="20"/>
              </w:rPr>
              <w:t xml:space="preserve">(Ini proses perencanaan awal yang melihat ukuran keberhasilan dan output yang diharapkan, serta pemangku kepentingan utama yang terlibat.) </w:t>
            </w:r>
          </w:p>
        </w:tc>
      </w:tr>
      <w:tr w:rsidR="00DF4AEC" w14:paraId="157A94B9" w14:textId="77777777">
        <w:trPr>
          <w:trHeight w:val="200"/>
        </w:trPr>
        <w:tc>
          <w:tcPr>
            <w:tcW w:w="2365" w:type="dxa"/>
            <w:tcBorders>
              <w:top w:val="single" w:sz="4" w:space="0" w:color="000000"/>
              <w:left w:val="single" w:sz="4" w:space="0" w:color="000000"/>
              <w:bottom w:val="single" w:sz="4" w:space="0" w:color="000000"/>
              <w:right w:val="single" w:sz="4" w:space="0" w:color="000000"/>
            </w:tcBorders>
          </w:tcPr>
          <w:p w14:paraId="38AF0522" w14:textId="77777777" w:rsidR="00DF4AEC" w:rsidRDefault="001916CF">
            <w:pPr>
              <w:spacing w:line="240" w:lineRule="auto"/>
              <w:jc w:val="both"/>
              <w:rPr>
                <w:b/>
                <w:sz w:val="20"/>
                <w:szCs w:val="20"/>
              </w:rPr>
            </w:pPr>
            <w:r>
              <w:rPr>
                <w:b/>
                <w:sz w:val="20"/>
                <w:szCs w:val="20"/>
              </w:rPr>
              <w:t>Ukuran Keberhasilan</w:t>
            </w:r>
          </w:p>
          <w:p w14:paraId="2D64AAD7" w14:textId="77777777" w:rsidR="00DF4AEC" w:rsidRDefault="001916CF">
            <w:pPr>
              <w:spacing w:line="240" w:lineRule="auto"/>
              <w:rPr>
                <w:i/>
                <w:color w:val="434343"/>
                <w:sz w:val="15"/>
                <w:szCs w:val="15"/>
              </w:rPr>
            </w:pPr>
            <w:r>
              <w:rPr>
                <w:i/>
                <w:color w:val="434343"/>
                <w:sz w:val="15"/>
                <w:szCs w:val="15"/>
              </w:rPr>
              <w:t>(Ukuran Keberhasilan adalah bagian dari serangkaian tindakan atau peristiwa yang, ketika dijalankan, akan mengarah pada pencapaian hasil yang ingin dicapai komitmen.)</w:t>
            </w:r>
          </w:p>
        </w:tc>
        <w:tc>
          <w:tcPr>
            <w:tcW w:w="2017" w:type="dxa"/>
            <w:tcBorders>
              <w:top w:val="single" w:sz="4" w:space="0" w:color="000000"/>
              <w:left w:val="single" w:sz="4" w:space="0" w:color="000000"/>
              <w:bottom w:val="single" w:sz="4" w:space="0" w:color="000000"/>
              <w:right w:val="single" w:sz="4" w:space="0" w:color="000000"/>
            </w:tcBorders>
          </w:tcPr>
          <w:p w14:paraId="09FACA82" w14:textId="77777777" w:rsidR="00DF4AEC" w:rsidRDefault="001916CF">
            <w:pPr>
              <w:spacing w:line="240" w:lineRule="auto"/>
              <w:jc w:val="both"/>
              <w:rPr>
                <w:b/>
                <w:sz w:val="20"/>
                <w:szCs w:val="20"/>
              </w:rPr>
            </w:pPr>
            <w:r>
              <w:rPr>
                <w:b/>
                <w:sz w:val="20"/>
                <w:szCs w:val="20"/>
              </w:rPr>
              <w:t>Output yang Diharapkan</w:t>
            </w:r>
          </w:p>
          <w:p w14:paraId="75378CE1" w14:textId="77777777" w:rsidR="00DF4AEC" w:rsidRDefault="001916CF">
            <w:pPr>
              <w:spacing w:line="240" w:lineRule="auto"/>
              <w:rPr>
                <w:i/>
                <w:color w:val="434343"/>
                <w:sz w:val="15"/>
                <w:szCs w:val="15"/>
              </w:rPr>
            </w:pPr>
            <w:r>
              <w:rPr>
                <w:i/>
                <w:color w:val="434343"/>
                <w:sz w:val="15"/>
                <w:szCs w:val="15"/>
              </w:rPr>
              <w:t xml:space="preserve">(Output adalah hasil konkret, dapat diverifikasi secara obyektif yang merupakan produk langsung dari kegiatan </w:t>
            </w:r>
            <w:r>
              <w:rPr>
                <w:i/>
                <w:color w:val="434343"/>
                <w:sz w:val="15"/>
                <w:szCs w:val="15"/>
              </w:rPr>
              <w:lastRenderedPageBreak/>
              <w:t>yang dilaksanakan atau diimplementasikan.)</w:t>
            </w:r>
          </w:p>
        </w:tc>
        <w:tc>
          <w:tcPr>
            <w:tcW w:w="1709" w:type="dxa"/>
            <w:tcBorders>
              <w:top w:val="single" w:sz="4" w:space="0" w:color="000000"/>
              <w:left w:val="single" w:sz="4" w:space="0" w:color="000000"/>
              <w:bottom w:val="single" w:sz="4" w:space="0" w:color="000000"/>
              <w:right w:val="single" w:sz="4" w:space="0" w:color="000000"/>
            </w:tcBorders>
          </w:tcPr>
          <w:p w14:paraId="6F2481A8" w14:textId="77777777" w:rsidR="00DF4AEC" w:rsidRDefault="001916CF">
            <w:pPr>
              <w:spacing w:line="240" w:lineRule="auto"/>
              <w:jc w:val="both"/>
              <w:rPr>
                <w:b/>
                <w:sz w:val="20"/>
                <w:szCs w:val="20"/>
              </w:rPr>
            </w:pPr>
            <w:r>
              <w:rPr>
                <w:b/>
                <w:sz w:val="20"/>
                <w:szCs w:val="20"/>
              </w:rPr>
              <w:lastRenderedPageBreak/>
              <w:t>Tanggal Penyelesaian yang Diperkirakan</w:t>
            </w:r>
          </w:p>
        </w:tc>
        <w:tc>
          <w:tcPr>
            <w:tcW w:w="3402" w:type="dxa"/>
            <w:gridSpan w:val="3"/>
            <w:tcBorders>
              <w:top w:val="single" w:sz="4" w:space="0" w:color="000000"/>
              <w:left w:val="single" w:sz="4" w:space="0" w:color="000000"/>
              <w:bottom w:val="single" w:sz="4" w:space="0" w:color="000000"/>
              <w:right w:val="single" w:sz="4" w:space="0" w:color="000000"/>
            </w:tcBorders>
          </w:tcPr>
          <w:p w14:paraId="668EF5DA" w14:textId="77777777" w:rsidR="00DF4AEC" w:rsidRDefault="001916CF">
            <w:pPr>
              <w:spacing w:line="240" w:lineRule="auto"/>
              <w:jc w:val="both"/>
              <w:rPr>
                <w:b/>
                <w:sz w:val="20"/>
                <w:szCs w:val="20"/>
              </w:rPr>
            </w:pPr>
            <w:r>
              <w:rPr>
                <w:b/>
                <w:sz w:val="20"/>
                <w:szCs w:val="20"/>
              </w:rPr>
              <w:t>Pemangku Kepentingan</w:t>
            </w:r>
          </w:p>
        </w:tc>
      </w:tr>
      <w:tr w:rsidR="00DF4AEC" w14:paraId="5C418D66" w14:textId="77777777">
        <w:trPr>
          <w:trHeight w:val="200"/>
        </w:trPr>
        <w:tc>
          <w:tcPr>
            <w:tcW w:w="2365" w:type="dxa"/>
            <w:vMerge w:val="restart"/>
            <w:tcBorders>
              <w:top w:val="single" w:sz="4" w:space="0" w:color="000000"/>
              <w:left w:val="single" w:sz="4" w:space="0" w:color="000000"/>
              <w:bottom w:val="single" w:sz="4" w:space="0" w:color="000000"/>
              <w:right w:val="single" w:sz="4" w:space="0" w:color="000000"/>
            </w:tcBorders>
          </w:tcPr>
          <w:p w14:paraId="1AA83F99" w14:textId="77777777" w:rsidR="00DF4AEC" w:rsidRDefault="001916CF">
            <w:pPr>
              <w:spacing w:after="240" w:line="240" w:lineRule="auto"/>
              <w:jc w:val="both"/>
              <w:rPr>
                <w:i/>
                <w:sz w:val="15"/>
                <w:szCs w:val="15"/>
              </w:rPr>
            </w:pPr>
            <w:bookmarkStart w:id="3" w:name="_heading=h.30j0zll" w:colFirst="0" w:colLast="0"/>
            <w:bookmarkEnd w:id="3"/>
            <w:r>
              <w:rPr>
                <w:i/>
                <w:sz w:val="15"/>
                <w:szCs w:val="15"/>
              </w:rPr>
              <w:t>Adanya peraturan daerah Provinsi Aceh dan kebijakan pemerintah pusat terkait reparasi korban pelanggaran HAM pada masa konflik di Aceh</w:t>
            </w:r>
          </w:p>
          <w:p w14:paraId="439C8183" w14:textId="77777777" w:rsidR="00DF4AEC" w:rsidRDefault="00DF4AEC">
            <w:pPr>
              <w:spacing w:line="240" w:lineRule="auto"/>
              <w:jc w:val="both"/>
              <w:rPr>
                <w:i/>
                <w:sz w:val="15"/>
                <w:szCs w:val="15"/>
              </w:rPr>
            </w:pPr>
            <w:bookmarkStart w:id="4" w:name="_heading=h.8beg377fz2rh" w:colFirst="0" w:colLast="0"/>
            <w:bookmarkEnd w:id="4"/>
          </w:p>
        </w:tc>
        <w:tc>
          <w:tcPr>
            <w:tcW w:w="2017" w:type="dxa"/>
            <w:vMerge w:val="restart"/>
            <w:tcBorders>
              <w:top w:val="single" w:sz="4" w:space="0" w:color="000000"/>
              <w:left w:val="single" w:sz="4" w:space="0" w:color="000000"/>
              <w:bottom w:val="single" w:sz="4" w:space="0" w:color="000000"/>
              <w:right w:val="single" w:sz="4" w:space="0" w:color="000000"/>
            </w:tcBorders>
          </w:tcPr>
          <w:p w14:paraId="66214984" w14:textId="77777777" w:rsidR="00DF4AEC" w:rsidRDefault="001916CF">
            <w:pPr>
              <w:spacing w:before="40" w:line="240" w:lineRule="auto"/>
              <w:jc w:val="both"/>
              <w:rPr>
                <w:i/>
                <w:sz w:val="15"/>
                <w:szCs w:val="15"/>
              </w:rPr>
            </w:pPr>
            <w:r>
              <w:rPr>
                <w:i/>
                <w:sz w:val="15"/>
                <w:szCs w:val="15"/>
              </w:rPr>
              <w:t xml:space="preserve">Adanya produk kebijakan terkait dengan panduan pemberian rekomendasi dan pelaksanaan reparasi korban pelanggaran HAM masa lalu. </w:t>
            </w:r>
          </w:p>
        </w:tc>
        <w:tc>
          <w:tcPr>
            <w:tcW w:w="1709" w:type="dxa"/>
            <w:vMerge w:val="restart"/>
            <w:tcBorders>
              <w:top w:val="single" w:sz="4" w:space="0" w:color="000000"/>
              <w:left w:val="single" w:sz="4" w:space="0" w:color="000000"/>
              <w:bottom w:val="single" w:sz="4" w:space="0" w:color="000000"/>
              <w:right w:val="single" w:sz="4" w:space="0" w:color="000000"/>
            </w:tcBorders>
          </w:tcPr>
          <w:p w14:paraId="260E3F5F" w14:textId="77777777" w:rsidR="00DF4AEC" w:rsidRDefault="001916CF">
            <w:pPr>
              <w:spacing w:line="240" w:lineRule="auto"/>
              <w:jc w:val="both"/>
              <w:rPr>
                <w:sz w:val="20"/>
                <w:szCs w:val="20"/>
              </w:rPr>
            </w:pPr>
            <w:r>
              <w:rPr>
                <w:sz w:val="20"/>
                <w:szCs w:val="20"/>
              </w:rPr>
              <w:t>Desember 2024</w:t>
            </w:r>
          </w:p>
        </w:tc>
        <w:tc>
          <w:tcPr>
            <w:tcW w:w="3402" w:type="dxa"/>
            <w:gridSpan w:val="3"/>
            <w:tcBorders>
              <w:top w:val="single" w:sz="4" w:space="0" w:color="000000"/>
              <w:left w:val="single" w:sz="4" w:space="0" w:color="000000"/>
              <w:bottom w:val="single" w:sz="4" w:space="0" w:color="000000"/>
              <w:right w:val="single" w:sz="4" w:space="0" w:color="000000"/>
            </w:tcBorders>
          </w:tcPr>
          <w:p w14:paraId="0BA1E101" w14:textId="77777777" w:rsidR="00DF4AEC" w:rsidRDefault="001916CF">
            <w:pPr>
              <w:spacing w:line="240" w:lineRule="auto"/>
              <w:jc w:val="both"/>
              <w:rPr>
                <w:sz w:val="20"/>
                <w:szCs w:val="20"/>
              </w:rPr>
            </w:pPr>
            <w:r>
              <w:rPr>
                <w:sz w:val="20"/>
                <w:szCs w:val="20"/>
              </w:rPr>
              <w:t>Penanggungjawab Utama:</w:t>
            </w:r>
          </w:p>
        </w:tc>
      </w:tr>
      <w:tr w:rsidR="00DF4AEC" w14:paraId="6BA78FD5" w14:textId="77777777">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59DA5812" w14:textId="77777777" w:rsidR="00DF4AEC" w:rsidRDefault="00DF4AEC">
            <w:pPr>
              <w:widowControl w:val="0"/>
              <w:pBdr>
                <w:top w:val="nil"/>
                <w:left w:val="nil"/>
                <w:bottom w:val="nil"/>
                <w:right w:val="nil"/>
                <w:between w:val="nil"/>
              </w:pBdr>
              <w:rPr>
                <w:sz w:val="20"/>
                <w:szCs w:val="20"/>
              </w:rPr>
            </w:pPr>
          </w:p>
        </w:tc>
        <w:tc>
          <w:tcPr>
            <w:tcW w:w="2017" w:type="dxa"/>
            <w:vMerge/>
            <w:tcBorders>
              <w:top w:val="single" w:sz="4" w:space="0" w:color="000000"/>
              <w:left w:val="single" w:sz="4" w:space="0" w:color="000000"/>
              <w:bottom w:val="single" w:sz="4" w:space="0" w:color="000000"/>
              <w:right w:val="single" w:sz="4" w:space="0" w:color="000000"/>
            </w:tcBorders>
          </w:tcPr>
          <w:p w14:paraId="28719876" w14:textId="77777777" w:rsidR="00DF4AEC" w:rsidRDefault="00DF4AEC">
            <w:pPr>
              <w:widowControl w:val="0"/>
              <w:pBdr>
                <w:top w:val="nil"/>
                <w:left w:val="nil"/>
                <w:bottom w:val="nil"/>
                <w:right w:val="nil"/>
                <w:between w:val="nil"/>
              </w:pBdr>
              <w:rPr>
                <w:sz w:val="20"/>
                <w:szCs w:val="20"/>
              </w:rPr>
            </w:pPr>
          </w:p>
        </w:tc>
        <w:tc>
          <w:tcPr>
            <w:tcW w:w="1709" w:type="dxa"/>
            <w:vMerge/>
            <w:tcBorders>
              <w:top w:val="single" w:sz="4" w:space="0" w:color="000000"/>
              <w:left w:val="single" w:sz="4" w:space="0" w:color="000000"/>
              <w:bottom w:val="single" w:sz="4" w:space="0" w:color="000000"/>
              <w:right w:val="single" w:sz="4" w:space="0" w:color="000000"/>
            </w:tcBorders>
          </w:tcPr>
          <w:p w14:paraId="28F2AC41" w14:textId="77777777" w:rsidR="00DF4AEC" w:rsidRDefault="00DF4AEC">
            <w:pPr>
              <w:widowControl w:val="0"/>
              <w:pBdr>
                <w:top w:val="nil"/>
                <w:left w:val="nil"/>
                <w:bottom w:val="nil"/>
                <w:right w:val="nil"/>
                <w:between w:val="nil"/>
              </w:pBdr>
              <w:rPr>
                <w:sz w:val="20"/>
                <w:szCs w:val="20"/>
              </w:rPr>
            </w:pPr>
          </w:p>
        </w:tc>
        <w:tc>
          <w:tcPr>
            <w:tcW w:w="3402" w:type="dxa"/>
            <w:gridSpan w:val="3"/>
            <w:tcBorders>
              <w:top w:val="single" w:sz="4" w:space="0" w:color="000000"/>
              <w:left w:val="single" w:sz="4" w:space="0" w:color="000000"/>
              <w:bottom w:val="single" w:sz="4" w:space="0" w:color="000000"/>
              <w:right w:val="single" w:sz="4" w:space="0" w:color="000000"/>
            </w:tcBorders>
          </w:tcPr>
          <w:p w14:paraId="00C6F4BC" w14:textId="77777777" w:rsidR="00DF4AEC" w:rsidRDefault="001916CF">
            <w:pPr>
              <w:widowControl w:val="0"/>
              <w:rPr>
                <w:sz w:val="20"/>
                <w:szCs w:val="20"/>
                <w:u w:val="single"/>
              </w:rPr>
            </w:pPr>
            <w:r>
              <w:rPr>
                <w:sz w:val="20"/>
                <w:szCs w:val="20"/>
                <w:u w:val="single"/>
              </w:rPr>
              <w:t>Pemangku Kepentingan Pendukung</w:t>
            </w:r>
          </w:p>
        </w:tc>
      </w:tr>
      <w:tr w:rsidR="00DF4AEC" w14:paraId="6E60F1EC" w14:textId="77777777">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1645DFC9" w14:textId="77777777" w:rsidR="00DF4AEC" w:rsidRDefault="00DF4AEC">
            <w:pPr>
              <w:widowControl w:val="0"/>
              <w:pBdr>
                <w:top w:val="nil"/>
                <w:left w:val="nil"/>
                <w:bottom w:val="nil"/>
                <w:right w:val="nil"/>
                <w:between w:val="nil"/>
              </w:pBdr>
              <w:rPr>
                <w:sz w:val="20"/>
                <w:szCs w:val="20"/>
                <w:u w:val="single"/>
              </w:rPr>
            </w:pPr>
          </w:p>
        </w:tc>
        <w:tc>
          <w:tcPr>
            <w:tcW w:w="2017" w:type="dxa"/>
            <w:vMerge/>
            <w:tcBorders>
              <w:top w:val="single" w:sz="4" w:space="0" w:color="000000"/>
              <w:left w:val="single" w:sz="4" w:space="0" w:color="000000"/>
              <w:bottom w:val="single" w:sz="4" w:space="0" w:color="000000"/>
              <w:right w:val="single" w:sz="4" w:space="0" w:color="000000"/>
            </w:tcBorders>
          </w:tcPr>
          <w:p w14:paraId="11A6D559" w14:textId="77777777" w:rsidR="00DF4AEC" w:rsidRDefault="00DF4AEC">
            <w:pPr>
              <w:widowControl w:val="0"/>
              <w:pBdr>
                <w:top w:val="nil"/>
                <w:left w:val="nil"/>
                <w:bottom w:val="nil"/>
                <w:right w:val="nil"/>
                <w:between w:val="nil"/>
              </w:pBdr>
              <w:rPr>
                <w:sz w:val="20"/>
                <w:szCs w:val="20"/>
                <w:u w:val="single"/>
              </w:rPr>
            </w:pPr>
          </w:p>
        </w:tc>
        <w:tc>
          <w:tcPr>
            <w:tcW w:w="1709" w:type="dxa"/>
            <w:vMerge/>
            <w:tcBorders>
              <w:top w:val="single" w:sz="4" w:space="0" w:color="000000"/>
              <w:left w:val="single" w:sz="4" w:space="0" w:color="000000"/>
              <w:bottom w:val="single" w:sz="4" w:space="0" w:color="000000"/>
              <w:right w:val="single" w:sz="4" w:space="0" w:color="000000"/>
            </w:tcBorders>
          </w:tcPr>
          <w:p w14:paraId="48537B11" w14:textId="77777777" w:rsidR="00DF4AEC" w:rsidRDefault="00DF4AEC">
            <w:pPr>
              <w:widowControl w:val="0"/>
              <w:pBdr>
                <w:top w:val="nil"/>
                <w:left w:val="nil"/>
                <w:bottom w:val="nil"/>
                <w:right w:val="nil"/>
                <w:between w:val="nil"/>
              </w:pBdr>
              <w:rPr>
                <w:sz w:val="20"/>
                <w:szCs w:val="20"/>
                <w:u w:val="single"/>
              </w:rPr>
            </w:pPr>
          </w:p>
        </w:tc>
        <w:tc>
          <w:tcPr>
            <w:tcW w:w="1104" w:type="dxa"/>
            <w:tcBorders>
              <w:top w:val="single" w:sz="4" w:space="0" w:color="000000"/>
              <w:left w:val="single" w:sz="4" w:space="0" w:color="000000"/>
              <w:bottom w:val="single" w:sz="4" w:space="0" w:color="000000"/>
              <w:right w:val="single" w:sz="4" w:space="0" w:color="000000"/>
            </w:tcBorders>
          </w:tcPr>
          <w:p w14:paraId="45A51CCF" w14:textId="77777777" w:rsidR="00DF4AEC" w:rsidRDefault="001916CF">
            <w:pPr>
              <w:spacing w:line="240" w:lineRule="auto"/>
              <w:jc w:val="both"/>
              <w:rPr>
                <w:sz w:val="16"/>
                <w:szCs w:val="16"/>
              </w:rPr>
            </w:pPr>
            <w:r>
              <w:rPr>
                <w:sz w:val="16"/>
                <w:szCs w:val="16"/>
              </w:rPr>
              <w:t>K/L</w:t>
            </w:r>
          </w:p>
          <w:p w14:paraId="6A4EFEAC" w14:textId="77777777" w:rsidR="00DF4AEC" w:rsidRDefault="00DF4AEC">
            <w:pPr>
              <w:spacing w:line="240" w:lineRule="auto"/>
              <w:jc w:val="both"/>
              <w:rPr>
                <w:sz w:val="16"/>
                <w:szCs w:val="16"/>
              </w:rPr>
            </w:pPr>
          </w:p>
          <w:p w14:paraId="738D05A4" w14:textId="77777777" w:rsidR="00DF4AEC" w:rsidRDefault="001916CF">
            <w:pPr>
              <w:spacing w:line="240" w:lineRule="auto"/>
              <w:jc w:val="both"/>
              <w:rPr>
                <w:sz w:val="16"/>
                <w:szCs w:val="16"/>
              </w:rPr>
            </w:pPr>
            <w:r>
              <w:rPr>
                <w:sz w:val="16"/>
                <w:szCs w:val="16"/>
              </w:rPr>
              <w:t>Pemerintah Aceh</w:t>
            </w:r>
          </w:p>
          <w:p w14:paraId="041E59C5" w14:textId="77777777" w:rsidR="00DF4AEC" w:rsidRDefault="00DF4AEC">
            <w:pPr>
              <w:spacing w:line="240" w:lineRule="auto"/>
              <w:jc w:val="both"/>
              <w:rPr>
                <w:sz w:val="16"/>
                <w:szCs w:val="16"/>
              </w:rPr>
            </w:pPr>
          </w:p>
          <w:p w14:paraId="1B669157" w14:textId="77777777" w:rsidR="00DF4AEC" w:rsidRDefault="001916CF">
            <w:pPr>
              <w:spacing w:line="240" w:lineRule="auto"/>
              <w:jc w:val="both"/>
              <w:rPr>
                <w:sz w:val="16"/>
                <w:szCs w:val="16"/>
              </w:rPr>
            </w:pPr>
            <w:r>
              <w:rPr>
                <w:sz w:val="16"/>
                <w:szCs w:val="16"/>
              </w:rPr>
              <w:t>Badan Reintegrasi Aceh</w:t>
            </w:r>
          </w:p>
          <w:p w14:paraId="48E287FA" w14:textId="77777777" w:rsidR="00DF4AEC" w:rsidRDefault="00DF4AEC">
            <w:pPr>
              <w:spacing w:line="240" w:lineRule="auto"/>
              <w:jc w:val="both"/>
              <w:rPr>
                <w:sz w:val="16"/>
                <w:szCs w:val="16"/>
              </w:rPr>
            </w:pPr>
          </w:p>
          <w:p w14:paraId="358765B3" w14:textId="77777777" w:rsidR="00DF4AEC" w:rsidRDefault="001916CF">
            <w:pPr>
              <w:spacing w:line="240" w:lineRule="auto"/>
              <w:jc w:val="both"/>
              <w:rPr>
                <w:sz w:val="16"/>
                <w:szCs w:val="16"/>
              </w:rPr>
            </w:pPr>
            <w:r>
              <w:rPr>
                <w:sz w:val="16"/>
                <w:szCs w:val="16"/>
              </w:rPr>
              <w:t>KKR Aceh</w:t>
            </w:r>
          </w:p>
        </w:tc>
        <w:tc>
          <w:tcPr>
            <w:tcW w:w="1149" w:type="dxa"/>
            <w:tcBorders>
              <w:top w:val="single" w:sz="4" w:space="0" w:color="000000"/>
              <w:left w:val="single" w:sz="4" w:space="0" w:color="000000"/>
              <w:bottom w:val="single" w:sz="4" w:space="0" w:color="000000"/>
              <w:right w:val="single" w:sz="4" w:space="0" w:color="000000"/>
            </w:tcBorders>
          </w:tcPr>
          <w:p w14:paraId="265562BD" w14:textId="77777777" w:rsidR="00DF4AEC" w:rsidRDefault="001916CF">
            <w:pPr>
              <w:spacing w:line="240" w:lineRule="auto"/>
              <w:jc w:val="both"/>
              <w:rPr>
                <w:sz w:val="16"/>
                <w:szCs w:val="16"/>
              </w:rPr>
            </w:pPr>
            <w:r>
              <w:rPr>
                <w:sz w:val="16"/>
                <w:szCs w:val="16"/>
              </w:rPr>
              <w:t>OMS</w:t>
            </w:r>
          </w:p>
          <w:p w14:paraId="34B9B6EA" w14:textId="77777777" w:rsidR="00DF4AEC" w:rsidRDefault="00DF4AEC">
            <w:pPr>
              <w:spacing w:line="240" w:lineRule="auto"/>
              <w:jc w:val="both"/>
              <w:rPr>
                <w:sz w:val="16"/>
                <w:szCs w:val="16"/>
              </w:rPr>
            </w:pPr>
          </w:p>
          <w:p w14:paraId="53AB0912" w14:textId="77777777" w:rsidR="00DF4AEC" w:rsidRDefault="001916CF">
            <w:pPr>
              <w:spacing w:line="240" w:lineRule="auto"/>
              <w:jc w:val="both"/>
              <w:rPr>
                <w:sz w:val="16"/>
                <w:szCs w:val="16"/>
              </w:rPr>
            </w:pPr>
            <w:r>
              <w:rPr>
                <w:sz w:val="16"/>
                <w:szCs w:val="16"/>
              </w:rPr>
              <w:t>KontraS Aceh</w:t>
            </w:r>
          </w:p>
        </w:tc>
        <w:tc>
          <w:tcPr>
            <w:tcW w:w="1149" w:type="dxa"/>
            <w:tcBorders>
              <w:top w:val="single" w:sz="4" w:space="0" w:color="000000"/>
              <w:left w:val="single" w:sz="4" w:space="0" w:color="000000"/>
              <w:bottom w:val="single" w:sz="4" w:space="0" w:color="000000"/>
              <w:right w:val="single" w:sz="4" w:space="0" w:color="000000"/>
            </w:tcBorders>
          </w:tcPr>
          <w:p w14:paraId="6387DE1D" w14:textId="77777777" w:rsidR="00DF4AEC" w:rsidRDefault="001916CF">
            <w:pPr>
              <w:spacing w:line="240" w:lineRule="auto"/>
              <w:rPr>
                <w:sz w:val="16"/>
                <w:szCs w:val="16"/>
              </w:rPr>
            </w:pPr>
            <w:r>
              <w:rPr>
                <w:sz w:val="16"/>
                <w:szCs w:val="16"/>
              </w:rPr>
              <w:t>Others (e.g., Parliament, Private Sector etc)</w:t>
            </w:r>
          </w:p>
        </w:tc>
      </w:tr>
      <w:tr w:rsidR="00DF4AEC" w14:paraId="78819F1A" w14:textId="77777777">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182DE073" w14:textId="77777777" w:rsidR="00DF4AEC" w:rsidRDefault="00DF4AEC">
            <w:pPr>
              <w:widowControl w:val="0"/>
              <w:pBdr>
                <w:top w:val="nil"/>
                <w:left w:val="nil"/>
                <w:bottom w:val="nil"/>
                <w:right w:val="nil"/>
                <w:between w:val="nil"/>
              </w:pBdr>
              <w:rPr>
                <w:sz w:val="16"/>
                <w:szCs w:val="16"/>
              </w:rPr>
            </w:pPr>
          </w:p>
        </w:tc>
        <w:tc>
          <w:tcPr>
            <w:tcW w:w="2017" w:type="dxa"/>
            <w:vMerge/>
            <w:tcBorders>
              <w:top w:val="single" w:sz="4" w:space="0" w:color="000000"/>
              <w:left w:val="single" w:sz="4" w:space="0" w:color="000000"/>
              <w:bottom w:val="single" w:sz="4" w:space="0" w:color="000000"/>
              <w:right w:val="single" w:sz="4" w:space="0" w:color="000000"/>
            </w:tcBorders>
          </w:tcPr>
          <w:p w14:paraId="33085D0A" w14:textId="77777777" w:rsidR="00DF4AEC" w:rsidRDefault="00DF4AEC">
            <w:pPr>
              <w:widowControl w:val="0"/>
              <w:pBdr>
                <w:top w:val="nil"/>
                <w:left w:val="nil"/>
                <w:bottom w:val="nil"/>
                <w:right w:val="nil"/>
                <w:between w:val="nil"/>
              </w:pBdr>
              <w:rPr>
                <w:sz w:val="16"/>
                <w:szCs w:val="16"/>
              </w:rPr>
            </w:pPr>
          </w:p>
        </w:tc>
        <w:tc>
          <w:tcPr>
            <w:tcW w:w="1709" w:type="dxa"/>
            <w:vMerge/>
            <w:tcBorders>
              <w:top w:val="single" w:sz="4" w:space="0" w:color="000000"/>
              <w:left w:val="single" w:sz="4" w:space="0" w:color="000000"/>
              <w:bottom w:val="single" w:sz="4" w:space="0" w:color="000000"/>
              <w:right w:val="single" w:sz="4" w:space="0" w:color="000000"/>
            </w:tcBorders>
          </w:tcPr>
          <w:p w14:paraId="62E62A7D" w14:textId="77777777" w:rsidR="00DF4AEC" w:rsidRDefault="00DF4AEC">
            <w:pPr>
              <w:widowControl w:val="0"/>
              <w:pBdr>
                <w:top w:val="nil"/>
                <w:left w:val="nil"/>
                <w:bottom w:val="nil"/>
                <w:right w:val="nil"/>
                <w:between w:val="nil"/>
              </w:pBdr>
              <w:rPr>
                <w:sz w:val="16"/>
                <w:szCs w:val="16"/>
              </w:rPr>
            </w:pPr>
          </w:p>
        </w:tc>
        <w:tc>
          <w:tcPr>
            <w:tcW w:w="1104" w:type="dxa"/>
            <w:tcBorders>
              <w:top w:val="single" w:sz="4" w:space="0" w:color="000000"/>
              <w:left w:val="single" w:sz="4" w:space="0" w:color="000000"/>
              <w:bottom w:val="single" w:sz="4" w:space="0" w:color="000000"/>
              <w:right w:val="single" w:sz="4" w:space="0" w:color="000000"/>
            </w:tcBorders>
          </w:tcPr>
          <w:p w14:paraId="32F8DFCB" w14:textId="77777777" w:rsidR="00DF4AEC" w:rsidRDefault="00DF4AEC">
            <w:pPr>
              <w:spacing w:line="240" w:lineRule="auto"/>
              <w:jc w:val="both"/>
              <w:rPr>
                <w:sz w:val="20"/>
                <w:szCs w:val="20"/>
              </w:rPr>
            </w:pPr>
          </w:p>
          <w:p w14:paraId="10AE352F" w14:textId="77777777" w:rsidR="00DF4AEC" w:rsidRDefault="00DF4AEC">
            <w:pPr>
              <w:spacing w:line="240" w:lineRule="auto"/>
              <w:jc w:val="both"/>
              <w:rPr>
                <w:sz w:val="20"/>
                <w:szCs w:val="20"/>
              </w:rPr>
            </w:pPr>
          </w:p>
          <w:p w14:paraId="063AF5AA" w14:textId="77777777" w:rsidR="00DF4AEC" w:rsidRDefault="00DF4AEC">
            <w:pPr>
              <w:spacing w:line="240" w:lineRule="auto"/>
              <w:jc w:val="both"/>
              <w:rPr>
                <w:sz w:val="20"/>
                <w:szCs w:val="20"/>
              </w:rPr>
            </w:pPr>
          </w:p>
          <w:p w14:paraId="1EEF26F8" w14:textId="77777777" w:rsidR="00DF4AEC" w:rsidRDefault="00DF4AEC">
            <w:pPr>
              <w:spacing w:line="240" w:lineRule="auto"/>
              <w:jc w:val="both"/>
              <w:rPr>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57B6B203" w14:textId="77777777" w:rsidR="00DF4AEC" w:rsidRDefault="00DF4AEC">
            <w:pPr>
              <w:spacing w:line="240" w:lineRule="auto"/>
              <w:jc w:val="both"/>
              <w:rPr>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16D80697" w14:textId="77777777" w:rsidR="00DF4AEC" w:rsidRDefault="00DF4AEC">
            <w:pPr>
              <w:spacing w:line="240" w:lineRule="auto"/>
              <w:jc w:val="both"/>
              <w:rPr>
                <w:sz w:val="20"/>
                <w:szCs w:val="20"/>
              </w:rPr>
            </w:pPr>
          </w:p>
        </w:tc>
      </w:tr>
      <w:tr w:rsidR="00DF4AEC" w14:paraId="239801AA" w14:textId="77777777">
        <w:trPr>
          <w:trHeight w:val="200"/>
        </w:trPr>
        <w:tc>
          <w:tcPr>
            <w:tcW w:w="2365" w:type="dxa"/>
            <w:vMerge w:val="restart"/>
            <w:tcBorders>
              <w:top w:val="single" w:sz="4" w:space="0" w:color="000000"/>
              <w:left w:val="single" w:sz="4" w:space="0" w:color="000000"/>
              <w:bottom w:val="single" w:sz="4" w:space="0" w:color="000000"/>
              <w:right w:val="single" w:sz="4" w:space="0" w:color="000000"/>
            </w:tcBorders>
          </w:tcPr>
          <w:p w14:paraId="1FC196E4" w14:textId="77777777" w:rsidR="00DF4AEC" w:rsidRDefault="001916CF">
            <w:pPr>
              <w:spacing w:line="240" w:lineRule="auto"/>
              <w:jc w:val="both"/>
              <w:rPr>
                <w:i/>
                <w:sz w:val="15"/>
                <w:szCs w:val="15"/>
              </w:rPr>
            </w:pPr>
            <w:r>
              <w:rPr>
                <w:i/>
                <w:sz w:val="15"/>
                <w:szCs w:val="15"/>
              </w:rPr>
              <w:t>Adanya policy paper mengenai KKR dari masyarakat sipil sebagai salah satu dasar pemikiran untuk lahirnya kebijakan penyelesaian pelanggaran berat HAM masa lalu.</w:t>
            </w:r>
          </w:p>
          <w:p w14:paraId="60C678C6" w14:textId="77777777" w:rsidR="00DF4AEC" w:rsidRDefault="00DF4AEC">
            <w:pPr>
              <w:spacing w:line="240" w:lineRule="auto"/>
              <w:jc w:val="both"/>
              <w:rPr>
                <w:i/>
                <w:sz w:val="15"/>
                <w:szCs w:val="15"/>
              </w:rPr>
            </w:pPr>
          </w:p>
          <w:p w14:paraId="39143CDD" w14:textId="77777777" w:rsidR="00DF4AEC" w:rsidRDefault="00DF4AEC">
            <w:pPr>
              <w:spacing w:line="240" w:lineRule="auto"/>
              <w:jc w:val="both"/>
              <w:rPr>
                <w:i/>
                <w:sz w:val="15"/>
                <w:szCs w:val="15"/>
              </w:rPr>
            </w:pPr>
          </w:p>
        </w:tc>
        <w:tc>
          <w:tcPr>
            <w:tcW w:w="2017" w:type="dxa"/>
            <w:vMerge w:val="restart"/>
            <w:tcBorders>
              <w:top w:val="single" w:sz="4" w:space="0" w:color="000000"/>
              <w:left w:val="single" w:sz="4" w:space="0" w:color="000000"/>
              <w:bottom w:val="single" w:sz="4" w:space="0" w:color="000000"/>
              <w:right w:val="single" w:sz="4" w:space="0" w:color="000000"/>
            </w:tcBorders>
          </w:tcPr>
          <w:p w14:paraId="586FCA91" w14:textId="77777777" w:rsidR="00DF4AEC" w:rsidRDefault="001916CF">
            <w:pPr>
              <w:spacing w:line="240" w:lineRule="auto"/>
              <w:jc w:val="both"/>
              <w:rPr>
                <w:i/>
                <w:sz w:val="15"/>
                <w:szCs w:val="15"/>
              </w:rPr>
            </w:pPr>
            <w:r>
              <w:rPr>
                <w:i/>
                <w:sz w:val="15"/>
                <w:szCs w:val="15"/>
              </w:rPr>
              <w:t>Adanya Kertas kebijakan  mengenai KKR</w:t>
            </w:r>
          </w:p>
        </w:tc>
        <w:tc>
          <w:tcPr>
            <w:tcW w:w="1709" w:type="dxa"/>
            <w:vMerge w:val="restart"/>
            <w:tcBorders>
              <w:top w:val="single" w:sz="4" w:space="0" w:color="000000"/>
              <w:left w:val="single" w:sz="4" w:space="0" w:color="000000"/>
              <w:bottom w:val="single" w:sz="4" w:space="0" w:color="000000"/>
              <w:right w:val="single" w:sz="4" w:space="0" w:color="000000"/>
            </w:tcBorders>
          </w:tcPr>
          <w:p w14:paraId="53BB062D" w14:textId="77777777" w:rsidR="00DF4AEC" w:rsidRDefault="001916CF">
            <w:pPr>
              <w:spacing w:line="240" w:lineRule="auto"/>
              <w:jc w:val="both"/>
              <w:rPr>
                <w:sz w:val="20"/>
                <w:szCs w:val="20"/>
              </w:rPr>
            </w:pPr>
            <w:r>
              <w:rPr>
                <w:sz w:val="20"/>
                <w:szCs w:val="20"/>
              </w:rPr>
              <w:t>Desember 2023</w:t>
            </w:r>
          </w:p>
        </w:tc>
        <w:tc>
          <w:tcPr>
            <w:tcW w:w="3402" w:type="dxa"/>
            <w:gridSpan w:val="3"/>
            <w:tcBorders>
              <w:top w:val="single" w:sz="4" w:space="0" w:color="000000"/>
              <w:left w:val="single" w:sz="4" w:space="0" w:color="000000"/>
              <w:bottom w:val="single" w:sz="4" w:space="0" w:color="000000"/>
              <w:right w:val="single" w:sz="4" w:space="0" w:color="000000"/>
            </w:tcBorders>
          </w:tcPr>
          <w:p w14:paraId="48E8BC98" w14:textId="77777777" w:rsidR="00DF4AEC" w:rsidRDefault="001916CF">
            <w:pPr>
              <w:spacing w:line="240" w:lineRule="auto"/>
              <w:jc w:val="both"/>
              <w:rPr>
                <w:sz w:val="20"/>
                <w:szCs w:val="20"/>
              </w:rPr>
            </w:pPr>
            <w:r>
              <w:rPr>
                <w:sz w:val="20"/>
                <w:szCs w:val="20"/>
              </w:rPr>
              <w:t>Penanggungjawab Utama:</w:t>
            </w:r>
          </w:p>
        </w:tc>
      </w:tr>
      <w:tr w:rsidR="00DF4AEC" w14:paraId="18254F2A" w14:textId="77777777">
        <w:trPr>
          <w:trHeight w:val="200"/>
        </w:trPr>
        <w:tc>
          <w:tcPr>
            <w:tcW w:w="2365" w:type="dxa"/>
            <w:vMerge/>
            <w:tcBorders>
              <w:top w:val="single" w:sz="4" w:space="0" w:color="000000"/>
              <w:left w:val="single" w:sz="4" w:space="0" w:color="000000"/>
              <w:bottom w:val="single" w:sz="4" w:space="0" w:color="000000"/>
              <w:right w:val="single" w:sz="4" w:space="0" w:color="000000"/>
            </w:tcBorders>
          </w:tcPr>
          <w:p w14:paraId="1984A68F" w14:textId="77777777" w:rsidR="00DF4AEC" w:rsidRDefault="00DF4AEC">
            <w:pPr>
              <w:widowControl w:val="0"/>
              <w:pBdr>
                <w:top w:val="nil"/>
                <w:left w:val="nil"/>
                <w:bottom w:val="nil"/>
                <w:right w:val="nil"/>
                <w:between w:val="nil"/>
              </w:pBdr>
              <w:rPr>
                <w:sz w:val="20"/>
                <w:szCs w:val="20"/>
              </w:rPr>
            </w:pPr>
          </w:p>
        </w:tc>
        <w:tc>
          <w:tcPr>
            <w:tcW w:w="2017" w:type="dxa"/>
            <w:vMerge/>
            <w:tcBorders>
              <w:top w:val="single" w:sz="4" w:space="0" w:color="000000"/>
              <w:left w:val="single" w:sz="4" w:space="0" w:color="000000"/>
              <w:bottom w:val="single" w:sz="4" w:space="0" w:color="000000"/>
              <w:right w:val="single" w:sz="4" w:space="0" w:color="000000"/>
            </w:tcBorders>
          </w:tcPr>
          <w:p w14:paraId="10F68096" w14:textId="77777777" w:rsidR="00DF4AEC" w:rsidRDefault="00DF4AEC">
            <w:pPr>
              <w:widowControl w:val="0"/>
              <w:pBdr>
                <w:top w:val="nil"/>
                <w:left w:val="nil"/>
                <w:bottom w:val="nil"/>
                <w:right w:val="nil"/>
                <w:between w:val="nil"/>
              </w:pBdr>
              <w:rPr>
                <w:sz w:val="20"/>
                <w:szCs w:val="20"/>
              </w:rPr>
            </w:pPr>
          </w:p>
        </w:tc>
        <w:tc>
          <w:tcPr>
            <w:tcW w:w="1709" w:type="dxa"/>
            <w:vMerge/>
            <w:tcBorders>
              <w:top w:val="single" w:sz="4" w:space="0" w:color="000000"/>
              <w:left w:val="single" w:sz="4" w:space="0" w:color="000000"/>
              <w:bottom w:val="single" w:sz="4" w:space="0" w:color="000000"/>
              <w:right w:val="single" w:sz="4" w:space="0" w:color="000000"/>
            </w:tcBorders>
          </w:tcPr>
          <w:p w14:paraId="5BAFBCA7" w14:textId="77777777" w:rsidR="00DF4AEC" w:rsidRDefault="00DF4AEC">
            <w:pPr>
              <w:widowControl w:val="0"/>
              <w:pBdr>
                <w:top w:val="nil"/>
                <w:left w:val="nil"/>
                <w:bottom w:val="nil"/>
                <w:right w:val="nil"/>
                <w:between w:val="nil"/>
              </w:pBdr>
              <w:rPr>
                <w:sz w:val="20"/>
                <w:szCs w:val="20"/>
              </w:rPr>
            </w:pPr>
          </w:p>
        </w:tc>
        <w:tc>
          <w:tcPr>
            <w:tcW w:w="3402" w:type="dxa"/>
            <w:gridSpan w:val="3"/>
            <w:tcBorders>
              <w:top w:val="single" w:sz="4" w:space="0" w:color="000000"/>
              <w:left w:val="single" w:sz="4" w:space="0" w:color="000000"/>
              <w:bottom w:val="single" w:sz="4" w:space="0" w:color="000000"/>
              <w:right w:val="single" w:sz="4" w:space="0" w:color="000000"/>
            </w:tcBorders>
          </w:tcPr>
          <w:p w14:paraId="7FE53B6A" w14:textId="77777777" w:rsidR="00DF4AEC" w:rsidRDefault="001916CF">
            <w:pPr>
              <w:spacing w:line="240" w:lineRule="auto"/>
              <w:rPr>
                <w:sz w:val="20"/>
                <w:szCs w:val="20"/>
                <w:u w:val="single"/>
              </w:rPr>
            </w:pPr>
            <w:r>
              <w:rPr>
                <w:sz w:val="20"/>
                <w:szCs w:val="20"/>
                <w:u w:val="single"/>
              </w:rPr>
              <w:t xml:space="preserve">Pemangku Kepentingan Pendukung </w:t>
            </w:r>
          </w:p>
        </w:tc>
      </w:tr>
      <w:tr w:rsidR="00DF4AEC" w14:paraId="5D36D41A" w14:textId="77777777">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6A5AC942" w14:textId="77777777" w:rsidR="00DF4AEC" w:rsidRDefault="00DF4AEC">
            <w:pPr>
              <w:widowControl w:val="0"/>
              <w:pBdr>
                <w:top w:val="nil"/>
                <w:left w:val="nil"/>
                <w:bottom w:val="nil"/>
                <w:right w:val="nil"/>
                <w:between w:val="nil"/>
              </w:pBdr>
              <w:rPr>
                <w:sz w:val="20"/>
                <w:szCs w:val="20"/>
                <w:u w:val="single"/>
              </w:rPr>
            </w:pPr>
          </w:p>
        </w:tc>
        <w:tc>
          <w:tcPr>
            <w:tcW w:w="2017" w:type="dxa"/>
            <w:vMerge/>
            <w:tcBorders>
              <w:top w:val="single" w:sz="4" w:space="0" w:color="000000"/>
              <w:left w:val="single" w:sz="4" w:space="0" w:color="000000"/>
              <w:bottom w:val="single" w:sz="4" w:space="0" w:color="000000"/>
              <w:right w:val="single" w:sz="4" w:space="0" w:color="000000"/>
            </w:tcBorders>
          </w:tcPr>
          <w:p w14:paraId="37E7E25C" w14:textId="77777777" w:rsidR="00DF4AEC" w:rsidRDefault="00DF4AEC">
            <w:pPr>
              <w:widowControl w:val="0"/>
              <w:pBdr>
                <w:top w:val="nil"/>
                <w:left w:val="nil"/>
                <w:bottom w:val="nil"/>
                <w:right w:val="nil"/>
                <w:between w:val="nil"/>
              </w:pBdr>
              <w:rPr>
                <w:sz w:val="20"/>
                <w:szCs w:val="20"/>
                <w:u w:val="single"/>
              </w:rPr>
            </w:pPr>
          </w:p>
        </w:tc>
        <w:tc>
          <w:tcPr>
            <w:tcW w:w="1709" w:type="dxa"/>
            <w:vMerge/>
            <w:tcBorders>
              <w:top w:val="single" w:sz="4" w:space="0" w:color="000000"/>
              <w:left w:val="single" w:sz="4" w:space="0" w:color="000000"/>
              <w:bottom w:val="single" w:sz="4" w:space="0" w:color="000000"/>
              <w:right w:val="single" w:sz="4" w:space="0" w:color="000000"/>
            </w:tcBorders>
          </w:tcPr>
          <w:p w14:paraId="55E3C727" w14:textId="77777777" w:rsidR="00DF4AEC" w:rsidRDefault="00DF4AEC">
            <w:pPr>
              <w:widowControl w:val="0"/>
              <w:pBdr>
                <w:top w:val="nil"/>
                <w:left w:val="nil"/>
                <w:bottom w:val="nil"/>
                <w:right w:val="nil"/>
                <w:between w:val="nil"/>
              </w:pBdr>
              <w:rPr>
                <w:sz w:val="20"/>
                <w:szCs w:val="20"/>
                <w:u w:val="single"/>
              </w:rPr>
            </w:pPr>
          </w:p>
        </w:tc>
        <w:tc>
          <w:tcPr>
            <w:tcW w:w="1104" w:type="dxa"/>
            <w:tcBorders>
              <w:top w:val="single" w:sz="4" w:space="0" w:color="000000"/>
              <w:left w:val="single" w:sz="4" w:space="0" w:color="000000"/>
              <w:bottom w:val="single" w:sz="4" w:space="0" w:color="000000"/>
              <w:right w:val="single" w:sz="4" w:space="0" w:color="000000"/>
            </w:tcBorders>
          </w:tcPr>
          <w:p w14:paraId="1E5BF3F1" w14:textId="77777777" w:rsidR="00DF4AEC" w:rsidRDefault="001916CF">
            <w:pPr>
              <w:spacing w:line="240" w:lineRule="auto"/>
              <w:jc w:val="both"/>
              <w:rPr>
                <w:sz w:val="16"/>
                <w:szCs w:val="16"/>
              </w:rPr>
            </w:pPr>
            <w:r>
              <w:rPr>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48AA370C" w14:textId="77777777" w:rsidR="00DF4AEC" w:rsidRDefault="001916CF">
            <w:pPr>
              <w:spacing w:line="240" w:lineRule="auto"/>
              <w:jc w:val="both"/>
              <w:rPr>
                <w:sz w:val="16"/>
                <w:szCs w:val="16"/>
              </w:rPr>
            </w:pPr>
            <w:r>
              <w:rPr>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450EA0AD" w14:textId="77777777" w:rsidR="00DF4AEC" w:rsidRDefault="001916CF">
            <w:pPr>
              <w:spacing w:line="240" w:lineRule="auto"/>
              <w:rPr>
                <w:sz w:val="16"/>
                <w:szCs w:val="16"/>
              </w:rPr>
            </w:pPr>
            <w:r>
              <w:rPr>
                <w:sz w:val="16"/>
                <w:szCs w:val="16"/>
              </w:rPr>
              <w:t>Others (e.g., Parliament, Private Sector etc)</w:t>
            </w:r>
          </w:p>
        </w:tc>
      </w:tr>
      <w:tr w:rsidR="00DF4AEC" w14:paraId="3056CC9A" w14:textId="77777777">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1B73DFAF" w14:textId="77777777" w:rsidR="00DF4AEC" w:rsidRDefault="00DF4AEC">
            <w:pPr>
              <w:widowControl w:val="0"/>
              <w:pBdr>
                <w:top w:val="nil"/>
                <w:left w:val="nil"/>
                <w:bottom w:val="nil"/>
                <w:right w:val="nil"/>
                <w:between w:val="nil"/>
              </w:pBdr>
              <w:rPr>
                <w:sz w:val="16"/>
                <w:szCs w:val="16"/>
              </w:rPr>
            </w:pPr>
          </w:p>
        </w:tc>
        <w:tc>
          <w:tcPr>
            <w:tcW w:w="2017" w:type="dxa"/>
            <w:vMerge/>
            <w:tcBorders>
              <w:top w:val="single" w:sz="4" w:space="0" w:color="000000"/>
              <w:left w:val="single" w:sz="4" w:space="0" w:color="000000"/>
              <w:bottom w:val="single" w:sz="4" w:space="0" w:color="000000"/>
              <w:right w:val="single" w:sz="4" w:space="0" w:color="000000"/>
            </w:tcBorders>
          </w:tcPr>
          <w:p w14:paraId="4759082D" w14:textId="77777777" w:rsidR="00DF4AEC" w:rsidRDefault="00DF4AEC">
            <w:pPr>
              <w:widowControl w:val="0"/>
              <w:pBdr>
                <w:top w:val="nil"/>
                <w:left w:val="nil"/>
                <w:bottom w:val="nil"/>
                <w:right w:val="nil"/>
                <w:between w:val="nil"/>
              </w:pBdr>
              <w:rPr>
                <w:sz w:val="16"/>
                <w:szCs w:val="16"/>
              </w:rPr>
            </w:pPr>
          </w:p>
        </w:tc>
        <w:tc>
          <w:tcPr>
            <w:tcW w:w="1709" w:type="dxa"/>
            <w:vMerge/>
            <w:tcBorders>
              <w:top w:val="single" w:sz="4" w:space="0" w:color="000000"/>
              <w:left w:val="single" w:sz="4" w:space="0" w:color="000000"/>
              <w:bottom w:val="single" w:sz="4" w:space="0" w:color="000000"/>
              <w:right w:val="single" w:sz="4" w:space="0" w:color="000000"/>
            </w:tcBorders>
          </w:tcPr>
          <w:p w14:paraId="3D9B8AC1" w14:textId="77777777" w:rsidR="00DF4AEC" w:rsidRDefault="00DF4AEC">
            <w:pPr>
              <w:widowControl w:val="0"/>
              <w:pBdr>
                <w:top w:val="nil"/>
                <w:left w:val="nil"/>
                <w:bottom w:val="nil"/>
                <w:right w:val="nil"/>
                <w:between w:val="nil"/>
              </w:pBdr>
              <w:rPr>
                <w:sz w:val="16"/>
                <w:szCs w:val="16"/>
              </w:rPr>
            </w:pPr>
          </w:p>
        </w:tc>
        <w:tc>
          <w:tcPr>
            <w:tcW w:w="1104" w:type="dxa"/>
            <w:tcBorders>
              <w:top w:val="single" w:sz="4" w:space="0" w:color="000000"/>
              <w:left w:val="single" w:sz="4" w:space="0" w:color="000000"/>
              <w:bottom w:val="single" w:sz="4" w:space="0" w:color="000000"/>
              <w:right w:val="single" w:sz="4" w:space="0" w:color="000000"/>
            </w:tcBorders>
          </w:tcPr>
          <w:p w14:paraId="1326D0E1" w14:textId="77777777" w:rsidR="00DF4AEC" w:rsidRDefault="00DF4AEC">
            <w:pPr>
              <w:spacing w:line="240" w:lineRule="auto"/>
              <w:jc w:val="both"/>
              <w:rPr>
                <w:sz w:val="21"/>
                <w:szCs w:val="21"/>
              </w:rPr>
            </w:pPr>
          </w:p>
          <w:p w14:paraId="5327F525" w14:textId="77777777" w:rsidR="00DF4AEC" w:rsidRDefault="00DF4AEC">
            <w:pPr>
              <w:spacing w:line="240" w:lineRule="auto"/>
              <w:jc w:val="both"/>
              <w:rPr>
                <w:sz w:val="21"/>
                <w:szCs w:val="21"/>
              </w:rPr>
            </w:pPr>
          </w:p>
          <w:p w14:paraId="3EF46921" w14:textId="77777777" w:rsidR="00DF4AEC" w:rsidRDefault="00DF4AEC">
            <w:pPr>
              <w:spacing w:line="240" w:lineRule="auto"/>
              <w:jc w:val="both"/>
              <w:rPr>
                <w:sz w:val="21"/>
                <w:szCs w:val="21"/>
              </w:rPr>
            </w:pPr>
          </w:p>
          <w:p w14:paraId="4171E4EA" w14:textId="77777777" w:rsidR="00DF4AEC" w:rsidRDefault="00DF4AEC">
            <w:pPr>
              <w:spacing w:line="240" w:lineRule="auto"/>
              <w:jc w:val="both"/>
              <w:rPr>
                <w:sz w:val="21"/>
                <w:szCs w:val="21"/>
              </w:rPr>
            </w:pPr>
          </w:p>
          <w:p w14:paraId="4967BB40" w14:textId="77777777" w:rsidR="00DF4AEC" w:rsidRDefault="00DF4AEC">
            <w:pPr>
              <w:spacing w:line="240" w:lineRule="auto"/>
              <w:jc w:val="both"/>
              <w:rPr>
                <w:sz w:val="21"/>
                <w:szCs w:val="21"/>
              </w:rPr>
            </w:pPr>
          </w:p>
        </w:tc>
        <w:tc>
          <w:tcPr>
            <w:tcW w:w="1149" w:type="dxa"/>
            <w:tcBorders>
              <w:top w:val="single" w:sz="4" w:space="0" w:color="000000"/>
              <w:left w:val="single" w:sz="4" w:space="0" w:color="000000"/>
              <w:bottom w:val="single" w:sz="4" w:space="0" w:color="000000"/>
              <w:right w:val="single" w:sz="4" w:space="0" w:color="000000"/>
            </w:tcBorders>
          </w:tcPr>
          <w:p w14:paraId="2B8762B7" w14:textId="77777777" w:rsidR="00DF4AEC" w:rsidRDefault="001916CF">
            <w:pPr>
              <w:spacing w:line="240" w:lineRule="auto"/>
              <w:rPr>
                <w:i/>
                <w:sz w:val="15"/>
                <w:szCs w:val="15"/>
              </w:rPr>
            </w:pPr>
            <w:r>
              <w:rPr>
                <w:i/>
                <w:sz w:val="15"/>
                <w:szCs w:val="15"/>
              </w:rPr>
              <w:t>Yayasan TIFA</w:t>
            </w:r>
          </w:p>
          <w:p w14:paraId="03E2BF81" w14:textId="77777777" w:rsidR="00DF4AEC" w:rsidRDefault="00DF4AEC">
            <w:pPr>
              <w:spacing w:line="240" w:lineRule="auto"/>
              <w:rPr>
                <w:i/>
                <w:sz w:val="15"/>
                <w:szCs w:val="15"/>
              </w:rPr>
            </w:pPr>
          </w:p>
          <w:p w14:paraId="2CD9741B" w14:textId="77777777" w:rsidR="00DF4AEC" w:rsidRDefault="001916CF">
            <w:pPr>
              <w:spacing w:line="240" w:lineRule="auto"/>
              <w:rPr>
                <w:i/>
                <w:sz w:val="15"/>
                <w:szCs w:val="15"/>
              </w:rPr>
            </w:pPr>
            <w:r>
              <w:rPr>
                <w:i/>
                <w:sz w:val="15"/>
                <w:szCs w:val="15"/>
              </w:rPr>
              <w:t>KontraS Aceh</w:t>
            </w:r>
          </w:p>
          <w:p w14:paraId="2D480B26" w14:textId="77777777" w:rsidR="00DF4AEC" w:rsidRDefault="00DF4AEC">
            <w:pPr>
              <w:spacing w:line="240" w:lineRule="auto"/>
              <w:rPr>
                <w:i/>
                <w:sz w:val="15"/>
                <w:szCs w:val="15"/>
              </w:rPr>
            </w:pPr>
          </w:p>
          <w:p w14:paraId="3FE07464" w14:textId="77777777" w:rsidR="00DF4AEC" w:rsidRDefault="001916CF">
            <w:pPr>
              <w:spacing w:line="240" w:lineRule="auto"/>
              <w:rPr>
                <w:sz w:val="15"/>
                <w:szCs w:val="15"/>
              </w:rPr>
            </w:pPr>
            <w:r>
              <w:rPr>
                <w:i/>
                <w:sz w:val="15"/>
                <w:szCs w:val="15"/>
              </w:rPr>
              <w:t>Indonesia untuk Kemanusiaan</w:t>
            </w:r>
          </w:p>
          <w:p w14:paraId="20DDF406" w14:textId="77777777" w:rsidR="00DF4AEC" w:rsidRDefault="00DF4AEC">
            <w:pPr>
              <w:spacing w:line="240" w:lineRule="auto"/>
              <w:jc w:val="both"/>
              <w:rPr>
                <w:sz w:val="21"/>
                <w:szCs w:val="21"/>
              </w:rPr>
            </w:pPr>
          </w:p>
        </w:tc>
        <w:tc>
          <w:tcPr>
            <w:tcW w:w="1149" w:type="dxa"/>
            <w:tcBorders>
              <w:top w:val="single" w:sz="4" w:space="0" w:color="000000"/>
              <w:left w:val="single" w:sz="4" w:space="0" w:color="000000"/>
              <w:bottom w:val="single" w:sz="4" w:space="0" w:color="000000"/>
              <w:right w:val="single" w:sz="4" w:space="0" w:color="000000"/>
            </w:tcBorders>
          </w:tcPr>
          <w:p w14:paraId="7DE75FE5" w14:textId="77777777" w:rsidR="00DF4AEC" w:rsidRDefault="00DF4AEC">
            <w:pPr>
              <w:spacing w:line="240" w:lineRule="auto"/>
              <w:jc w:val="both"/>
              <w:rPr>
                <w:sz w:val="21"/>
                <w:szCs w:val="21"/>
              </w:rPr>
            </w:pPr>
          </w:p>
        </w:tc>
      </w:tr>
      <w:tr w:rsidR="00DF4AEC" w14:paraId="00746B9D" w14:textId="77777777">
        <w:trPr>
          <w:trHeight w:val="160"/>
        </w:trPr>
        <w:tc>
          <w:tcPr>
            <w:tcW w:w="2365" w:type="dxa"/>
            <w:vMerge w:val="restart"/>
            <w:tcBorders>
              <w:top w:val="single" w:sz="4" w:space="0" w:color="000000"/>
              <w:left w:val="single" w:sz="4" w:space="0" w:color="000000"/>
              <w:bottom w:val="single" w:sz="4" w:space="0" w:color="000000"/>
              <w:right w:val="single" w:sz="4" w:space="0" w:color="000000"/>
            </w:tcBorders>
          </w:tcPr>
          <w:p w14:paraId="0CF405E4" w14:textId="77777777" w:rsidR="00DF4AEC" w:rsidRDefault="001916CF">
            <w:pPr>
              <w:widowControl w:val="0"/>
              <w:pBdr>
                <w:top w:val="nil"/>
                <w:left w:val="nil"/>
                <w:bottom w:val="nil"/>
                <w:right w:val="nil"/>
                <w:between w:val="nil"/>
              </w:pBdr>
              <w:rPr>
                <w:i/>
                <w:sz w:val="15"/>
                <w:szCs w:val="15"/>
              </w:rPr>
            </w:pPr>
            <w:r>
              <w:rPr>
                <w:i/>
                <w:sz w:val="15"/>
                <w:szCs w:val="15"/>
              </w:rPr>
              <w:t>RUU KKR masuk dalam prioritas prolegnas DPR</w:t>
            </w:r>
          </w:p>
        </w:tc>
        <w:tc>
          <w:tcPr>
            <w:tcW w:w="2017" w:type="dxa"/>
            <w:vMerge w:val="restart"/>
            <w:tcBorders>
              <w:top w:val="single" w:sz="4" w:space="0" w:color="000000"/>
              <w:left w:val="single" w:sz="4" w:space="0" w:color="000000"/>
              <w:bottom w:val="single" w:sz="4" w:space="0" w:color="000000"/>
              <w:right w:val="single" w:sz="4" w:space="0" w:color="000000"/>
            </w:tcBorders>
          </w:tcPr>
          <w:p w14:paraId="0892BC6C" w14:textId="77777777" w:rsidR="00DF4AEC" w:rsidRDefault="001916CF">
            <w:pPr>
              <w:widowControl w:val="0"/>
              <w:rPr>
                <w:sz w:val="16"/>
                <w:szCs w:val="16"/>
              </w:rPr>
            </w:pPr>
            <w:r>
              <w:rPr>
                <w:i/>
                <w:sz w:val="15"/>
                <w:szCs w:val="15"/>
              </w:rPr>
              <w:t>RUU KKR masuk dalam daftar prioritas prolegnas</w:t>
            </w:r>
          </w:p>
        </w:tc>
        <w:tc>
          <w:tcPr>
            <w:tcW w:w="1709" w:type="dxa"/>
            <w:vMerge w:val="restart"/>
            <w:tcBorders>
              <w:top w:val="single" w:sz="4" w:space="0" w:color="000000"/>
              <w:left w:val="single" w:sz="4" w:space="0" w:color="000000"/>
              <w:bottom w:val="single" w:sz="4" w:space="0" w:color="000000"/>
              <w:right w:val="single" w:sz="4" w:space="0" w:color="000000"/>
            </w:tcBorders>
          </w:tcPr>
          <w:p w14:paraId="00531E61" w14:textId="77777777" w:rsidR="00DF4AEC" w:rsidRDefault="001916CF">
            <w:pPr>
              <w:widowControl w:val="0"/>
              <w:pBdr>
                <w:top w:val="nil"/>
                <w:left w:val="nil"/>
                <w:bottom w:val="nil"/>
                <w:right w:val="nil"/>
                <w:between w:val="nil"/>
              </w:pBdr>
              <w:rPr>
                <w:sz w:val="16"/>
                <w:szCs w:val="16"/>
              </w:rPr>
            </w:pPr>
            <w:r>
              <w:rPr>
                <w:sz w:val="16"/>
                <w:szCs w:val="16"/>
              </w:rPr>
              <w:t>Desember 2024</w:t>
            </w:r>
          </w:p>
        </w:tc>
        <w:tc>
          <w:tcPr>
            <w:tcW w:w="3402" w:type="dxa"/>
            <w:gridSpan w:val="3"/>
            <w:tcBorders>
              <w:top w:val="single" w:sz="4" w:space="0" w:color="000000"/>
              <w:left w:val="single" w:sz="4" w:space="0" w:color="000000"/>
              <w:bottom w:val="single" w:sz="4" w:space="0" w:color="000000"/>
              <w:right w:val="single" w:sz="4" w:space="0" w:color="000000"/>
            </w:tcBorders>
          </w:tcPr>
          <w:p w14:paraId="0FC129FC" w14:textId="77777777" w:rsidR="00DF4AEC" w:rsidRDefault="001916CF">
            <w:pPr>
              <w:spacing w:line="240" w:lineRule="auto"/>
              <w:jc w:val="both"/>
              <w:rPr>
                <w:sz w:val="20"/>
                <w:szCs w:val="20"/>
              </w:rPr>
            </w:pPr>
            <w:r>
              <w:rPr>
                <w:sz w:val="20"/>
                <w:szCs w:val="20"/>
              </w:rPr>
              <w:t>Penanggungjawab Utama:</w:t>
            </w:r>
          </w:p>
        </w:tc>
      </w:tr>
      <w:tr w:rsidR="00DF4AEC" w14:paraId="780AC217" w14:textId="77777777">
        <w:trPr>
          <w:trHeight w:val="160"/>
        </w:trPr>
        <w:tc>
          <w:tcPr>
            <w:tcW w:w="2365" w:type="dxa"/>
            <w:vMerge/>
            <w:tcBorders>
              <w:top w:val="single" w:sz="4" w:space="0" w:color="000000"/>
              <w:left w:val="single" w:sz="4" w:space="0" w:color="000000"/>
              <w:bottom w:val="single" w:sz="4" w:space="0" w:color="000000"/>
              <w:right w:val="single" w:sz="4" w:space="0" w:color="000000"/>
            </w:tcBorders>
          </w:tcPr>
          <w:p w14:paraId="0D511753" w14:textId="77777777" w:rsidR="00DF4AEC" w:rsidRDefault="00DF4AEC">
            <w:pPr>
              <w:widowControl w:val="0"/>
              <w:pBdr>
                <w:top w:val="nil"/>
                <w:left w:val="nil"/>
                <w:bottom w:val="nil"/>
                <w:right w:val="nil"/>
                <w:between w:val="nil"/>
              </w:pBdr>
              <w:spacing w:line="240" w:lineRule="auto"/>
              <w:rPr>
                <w:sz w:val="16"/>
                <w:szCs w:val="16"/>
              </w:rPr>
            </w:pPr>
          </w:p>
        </w:tc>
        <w:tc>
          <w:tcPr>
            <w:tcW w:w="2017" w:type="dxa"/>
            <w:vMerge/>
            <w:tcBorders>
              <w:top w:val="single" w:sz="4" w:space="0" w:color="000000"/>
              <w:left w:val="single" w:sz="4" w:space="0" w:color="000000"/>
              <w:bottom w:val="single" w:sz="4" w:space="0" w:color="000000"/>
              <w:right w:val="single" w:sz="4" w:space="0" w:color="000000"/>
            </w:tcBorders>
          </w:tcPr>
          <w:p w14:paraId="7AF8740B" w14:textId="77777777" w:rsidR="00DF4AEC" w:rsidRDefault="00DF4AEC">
            <w:pPr>
              <w:widowControl w:val="0"/>
              <w:pBdr>
                <w:top w:val="nil"/>
                <w:left w:val="nil"/>
                <w:bottom w:val="nil"/>
                <w:right w:val="nil"/>
                <w:between w:val="nil"/>
              </w:pBdr>
              <w:spacing w:line="240" w:lineRule="auto"/>
              <w:rPr>
                <w:sz w:val="16"/>
                <w:szCs w:val="16"/>
              </w:rPr>
            </w:pPr>
          </w:p>
        </w:tc>
        <w:tc>
          <w:tcPr>
            <w:tcW w:w="1709" w:type="dxa"/>
            <w:vMerge/>
            <w:tcBorders>
              <w:top w:val="single" w:sz="4" w:space="0" w:color="000000"/>
              <w:left w:val="single" w:sz="4" w:space="0" w:color="000000"/>
              <w:bottom w:val="single" w:sz="4" w:space="0" w:color="000000"/>
              <w:right w:val="single" w:sz="4" w:space="0" w:color="000000"/>
            </w:tcBorders>
          </w:tcPr>
          <w:p w14:paraId="2888BDEE" w14:textId="77777777" w:rsidR="00DF4AEC" w:rsidRDefault="00DF4AEC">
            <w:pPr>
              <w:widowControl w:val="0"/>
              <w:pBdr>
                <w:top w:val="nil"/>
                <w:left w:val="nil"/>
                <w:bottom w:val="nil"/>
                <w:right w:val="nil"/>
                <w:between w:val="nil"/>
              </w:pBdr>
              <w:spacing w:line="240" w:lineRule="auto"/>
              <w:rPr>
                <w:sz w:val="16"/>
                <w:szCs w:val="16"/>
              </w:rPr>
            </w:pPr>
          </w:p>
        </w:tc>
        <w:tc>
          <w:tcPr>
            <w:tcW w:w="3402" w:type="dxa"/>
            <w:gridSpan w:val="3"/>
            <w:tcBorders>
              <w:top w:val="single" w:sz="4" w:space="0" w:color="000000"/>
              <w:left w:val="single" w:sz="4" w:space="0" w:color="000000"/>
              <w:bottom w:val="single" w:sz="4" w:space="0" w:color="000000"/>
              <w:right w:val="single" w:sz="4" w:space="0" w:color="000000"/>
            </w:tcBorders>
          </w:tcPr>
          <w:p w14:paraId="20EB2582" w14:textId="77777777" w:rsidR="00DF4AEC" w:rsidRDefault="001916CF">
            <w:pPr>
              <w:spacing w:line="240" w:lineRule="auto"/>
              <w:rPr>
                <w:sz w:val="20"/>
                <w:szCs w:val="20"/>
                <w:u w:val="single"/>
              </w:rPr>
            </w:pPr>
            <w:r>
              <w:rPr>
                <w:sz w:val="20"/>
                <w:szCs w:val="20"/>
                <w:u w:val="single"/>
              </w:rPr>
              <w:t xml:space="preserve">Pemangku Kepentingan Pendukung </w:t>
            </w:r>
          </w:p>
        </w:tc>
      </w:tr>
      <w:tr w:rsidR="00DF4AEC" w14:paraId="73DF8BAC" w14:textId="77777777">
        <w:trPr>
          <w:trHeight w:val="160"/>
        </w:trPr>
        <w:tc>
          <w:tcPr>
            <w:tcW w:w="2365" w:type="dxa"/>
            <w:vMerge/>
            <w:tcBorders>
              <w:top w:val="single" w:sz="4" w:space="0" w:color="000000"/>
              <w:left w:val="single" w:sz="4" w:space="0" w:color="000000"/>
              <w:bottom w:val="single" w:sz="4" w:space="0" w:color="000000"/>
              <w:right w:val="single" w:sz="4" w:space="0" w:color="000000"/>
            </w:tcBorders>
          </w:tcPr>
          <w:p w14:paraId="4FC4F2B4" w14:textId="77777777" w:rsidR="00DF4AEC" w:rsidRDefault="00DF4AEC">
            <w:pPr>
              <w:widowControl w:val="0"/>
              <w:pBdr>
                <w:top w:val="nil"/>
                <w:left w:val="nil"/>
                <w:bottom w:val="nil"/>
                <w:right w:val="nil"/>
                <w:between w:val="nil"/>
              </w:pBdr>
              <w:spacing w:line="240" w:lineRule="auto"/>
              <w:rPr>
                <w:sz w:val="16"/>
                <w:szCs w:val="16"/>
              </w:rPr>
            </w:pPr>
          </w:p>
        </w:tc>
        <w:tc>
          <w:tcPr>
            <w:tcW w:w="2017" w:type="dxa"/>
            <w:vMerge/>
            <w:tcBorders>
              <w:top w:val="single" w:sz="4" w:space="0" w:color="000000"/>
              <w:left w:val="single" w:sz="4" w:space="0" w:color="000000"/>
              <w:bottom w:val="single" w:sz="4" w:space="0" w:color="000000"/>
              <w:right w:val="single" w:sz="4" w:space="0" w:color="000000"/>
            </w:tcBorders>
          </w:tcPr>
          <w:p w14:paraId="519FB117" w14:textId="77777777" w:rsidR="00DF4AEC" w:rsidRDefault="00DF4AEC">
            <w:pPr>
              <w:widowControl w:val="0"/>
              <w:pBdr>
                <w:top w:val="nil"/>
                <w:left w:val="nil"/>
                <w:bottom w:val="nil"/>
                <w:right w:val="nil"/>
                <w:between w:val="nil"/>
              </w:pBdr>
              <w:spacing w:line="240" w:lineRule="auto"/>
              <w:rPr>
                <w:sz w:val="16"/>
                <w:szCs w:val="16"/>
              </w:rPr>
            </w:pPr>
          </w:p>
        </w:tc>
        <w:tc>
          <w:tcPr>
            <w:tcW w:w="1709" w:type="dxa"/>
            <w:vMerge/>
            <w:tcBorders>
              <w:top w:val="single" w:sz="4" w:space="0" w:color="000000"/>
              <w:left w:val="single" w:sz="4" w:space="0" w:color="000000"/>
              <w:bottom w:val="single" w:sz="4" w:space="0" w:color="000000"/>
              <w:right w:val="single" w:sz="4" w:space="0" w:color="000000"/>
            </w:tcBorders>
          </w:tcPr>
          <w:p w14:paraId="7659A70E" w14:textId="77777777" w:rsidR="00DF4AEC" w:rsidRDefault="00DF4AEC">
            <w:pPr>
              <w:widowControl w:val="0"/>
              <w:pBdr>
                <w:top w:val="nil"/>
                <w:left w:val="nil"/>
                <w:bottom w:val="nil"/>
                <w:right w:val="nil"/>
                <w:between w:val="nil"/>
              </w:pBdr>
              <w:spacing w:line="240" w:lineRule="auto"/>
              <w:rPr>
                <w:sz w:val="16"/>
                <w:szCs w:val="16"/>
              </w:rPr>
            </w:pPr>
          </w:p>
        </w:tc>
        <w:tc>
          <w:tcPr>
            <w:tcW w:w="1104" w:type="dxa"/>
            <w:tcBorders>
              <w:top w:val="single" w:sz="4" w:space="0" w:color="000000"/>
              <w:left w:val="single" w:sz="4" w:space="0" w:color="000000"/>
              <w:bottom w:val="single" w:sz="4" w:space="0" w:color="000000"/>
              <w:right w:val="single" w:sz="4" w:space="0" w:color="000000"/>
            </w:tcBorders>
          </w:tcPr>
          <w:p w14:paraId="686AACE9" w14:textId="77777777" w:rsidR="00DF4AEC" w:rsidRDefault="001916CF">
            <w:pPr>
              <w:spacing w:line="240" w:lineRule="auto"/>
              <w:jc w:val="both"/>
              <w:rPr>
                <w:sz w:val="16"/>
                <w:szCs w:val="16"/>
              </w:rPr>
            </w:pPr>
            <w:r>
              <w:rPr>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5F7844FA" w14:textId="77777777" w:rsidR="00DF4AEC" w:rsidRDefault="001916CF">
            <w:pPr>
              <w:spacing w:line="240" w:lineRule="auto"/>
              <w:jc w:val="both"/>
              <w:rPr>
                <w:sz w:val="16"/>
                <w:szCs w:val="16"/>
              </w:rPr>
            </w:pPr>
            <w:r>
              <w:rPr>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23FB1EF6" w14:textId="77777777" w:rsidR="00DF4AEC" w:rsidRDefault="001916CF">
            <w:pPr>
              <w:spacing w:line="240" w:lineRule="auto"/>
              <w:rPr>
                <w:sz w:val="16"/>
                <w:szCs w:val="16"/>
              </w:rPr>
            </w:pPr>
            <w:r>
              <w:rPr>
                <w:sz w:val="16"/>
                <w:szCs w:val="16"/>
              </w:rPr>
              <w:t>Others (e.g., Parliament, Private Sector etc)</w:t>
            </w:r>
          </w:p>
        </w:tc>
      </w:tr>
      <w:tr w:rsidR="00DF4AEC" w14:paraId="16898860" w14:textId="77777777">
        <w:trPr>
          <w:trHeight w:val="160"/>
        </w:trPr>
        <w:tc>
          <w:tcPr>
            <w:tcW w:w="2365" w:type="dxa"/>
            <w:vMerge/>
            <w:tcBorders>
              <w:top w:val="single" w:sz="4" w:space="0" w:color="000000"/>
              <w:left w:val="single" w:sz="4" w:space="0" w:color="000000"/>
              <w:bottom w:val="single" w:sz="4" w:space="0" w:color="000000"/>
              <w:right w:val="single" w:sz="4" w:space="0" w:color="000000"/>
            </w:tcBorders>
          </w:tcPr>
          <w:p w14:paraId="61FE2A30" w14:textId="77777777" w:rsidR="00DF4AEC" w:rsidRDefault="00DF4AEC">
            <w:pPr>
              <w:widowControl w:val="0"/>
              <w:pBdr>
                <w:top w:val="nil"/>
                <w:left w:val="nil"/>
                <w:bottom w:val="nil"/>
                <w:right w:val="nil"/>
                <w:between w:val="nil"/>
              </w:pBdr>
              <w:spacing w:line="240" w:lineRule="auto"/>
              <w:rPr>
                <w:sz w:val="16"/>
                <w:szCs w:val="16"/>
              </w:rPr>
            </w:pPr>
          </w:p>
        </w:tc>
        <w:tc>
          <w:tcPr>
            <w:tcW w:w="2017" w:type="dxa"/>
            <w:vMerge/>
            <w:tcBorders>
              <w:top w:val="single" w:sz="4" w:space="0" w:color="000000"/>
              <w:left w:val="single" w:sz="4" w:space="0" w:color="000000"/>
              <w:bottom w:val="single" w:sz="4" w:space="0" w:color="000000"/>
              <w:right w:val="single" w:sz="4" w:space="0" w:color="000000"/>
            </w:tcBorders>
          </w:tcPr>
          <w:p w14:paraId="6EA55212" w14:textId="77777777" w:rsidR="00DF4AEC" w:rsidRDefault="00DF4AEC">
            <w:pPr>
              <w:widowControl w:val="0"/>
              <w:pBdr>
                <w:top w:val="nil"/>
                <w:left w:val="nil"/>
                <w:bottom w:val="nil"/>
                <w:right w:val="nil"/>
                <w:between w:val="nil"/>
              </w:pBdr>
              <w:spacing w:line="240" w:lineRule="auto"/>
              <w:rPr>
                <w:sz w:val="16"/>
                <w:szCs w:val="16"/>
              </w:rPr>
            </w:pPr>
          </w:p>
        </w:tc>
        <w:tc>
          <w:tcPr>
            <w:tcW w:w="1709" w:type="dxa"/>
            <w:vMerge/>
            <w:tcBorders>
              <w:top w:val="single" w:sz="4" w:space="0" w:color="000000"/>
              <w:left w:val="single" w:sz="4" w:space="0" w:color="000000"/>
              <w:bottom w:val="single" w:sz="4" w:space="0" w:color="000000"/>
              <w:right w:val="single" w:sz="4" w:space="0" w:color="000000"/>
            </w:tcBorders>
          </w:tcPr>
          <w:p w14:paraId="574A6630" w14:textId="77777777" w:rsidR="00DF4AEC" w:rsidRDefault="00DF4AEC">
            <w:pPr>
              <w:widowControl w:val="0"/>
              <w:pBdr>
                <w:top w:val="nil"/>
                <w:left w:val="nil"/>
                <w:bottom w:val="nil"/>
                <w:right w:val="nil"/>
                <w:between w:val="nil"/>
              </w:pBdr>
              <w:spacing w:line="240" w:lineRule="auto"/>
              <w:rPr>
                <w:sz w:val="16"/>
                <w:szCs w:val="16"/>
              </w:rPr>
            </w:pPr>
          </w:p>
        </w:tc>
        <w:tc>
          <w:tcPr>
            <w:tcW w:w="1104" w:type="dxa"/>
            <w:tcBorders>
              <w:top w:val="single" w:sz="4" w:space="0" w:color="000000"/>
              <w:left w:val="single" w:sz="4" w:space="0" w:color="000000"/>
              <w:bottom w:val="single" w:sz="4" w:space="0" w:color="000000"/>
              <w:right w:val="single" w:sz="4" w:space="0" w:color="000000"/>
            </w:tcBorders>
          </w:tcPr>
          <w:p w14:paraId="5C3F1DC5" w14:textId="77777777" w:rsidR="00DF4AEC" w:rsidRDefault="00DF4AEC">
            <w:pPr>
              <w:spacing w:line="240" w:lineRule="auto"/>
              <w:jc w:val="both"/>
              <w:rPr>
                <w:sz w:val="21"/>
                <w:szCs w:val="21"/>
              </w:rPr>
            </w:pPr>
          </w:p>
          <w:p w14:paraId="7C6602B4" w14:textId="77777777" w:rsidR="00DF4AEC" w:rsidRDefault="001916CF">
            <w:pPr>
              <w:spacing w:after="240" w:line="240" w:lineRule="auto"/>
              <w:rPr>
                <w:rFonts w:ascii="Times New Roman" w:eastAsia="Times New Roman" w:hAnsi="Times New Roman" w:cs="Times New Roman"/>
                <w:i/>
                <w:sz w:val="15"/>
                <w:szCs w:val="15"/>
              </w:rPr>
            </w:pPr>
            <w:r>
              <w:rPr>
                <w:rFonts w:ascii="Times New Roman" w:eastAsia="Times New Roman" w:hAnsi="Times New Roman" w:cs="Times New Roman"/>
                <w:i/>
                <w:sz w:val="15"/>
                <w:szCs w:val="15"/>
              </w:rPr>
              <w:t>Kemenkopolhukam</w:t>
            </w:r>
          </w:p>
          <w:p w14:paraId="7082A20F" w14:textId="77777777" w:rsidR="00DF4AEC" w:rsidRDefault="001916CF">
            <w:pPr>
              <w:spacing w:after="240" w:line="240" w:lineRule="auto"/>
              <w:rPr>
                <w:sz w:val="15"/>
                <w:szCs w:val="15"/>
              </w:rPr>
            </w:pPr>
            <w:r>
              <w:rPr>
                <w:rFonts w:ascii="Times New Roman" w:eastAsia="Times New Roman" w:hAnsi="Times New Roman" w:cs="Times New Roman"/>
                <w:i/>
                <w:sz w:val="15"/>
                <w:szCs w:val="15"/>
              </w:rPr>
              <w:t>Kemenkumham</w:t>
            </w:r>
          </w:p>
          <w:p w14:paraId="5E8FFE3A" w14:textId="77777777" w:rsidR="00DF4AEC" w:rsidRDefault="00DF4AEC">
            <w:pPr>
              <w:spacing w:line="240" w:lineRule="auto"/>
              <w:jc w:val="both"/>
              <w:rPr>
                <w:sz w:val="21"/>
                <w:szCs w:val="21"/>
              </w:rPr>
            </w:pPr>
          </w:p>
          <w:p w14:paraId="5518DCBF" w14:textId="77777777" w:rsidR="00DF4AEC" w:rsidRDefault="00DF4AEC">
            <w:pPr>
              <w:spacing w:line="240" w:lineRule="auto"/>
              <w:jc w:val="both"/>
              <w:rPr>
                <w:sz w:val="21"/>
                <w:szCs w:val="21"/>
              </w:rPr>
            </w:pPr>
          </w:p>
          <w:p w14:paraId="35D977E2" w14:textId="77777777" w:rsidR="00DF4AEC" w:rsidRDefault="00DF4AEC">
            <w:pPr>
              <w:spacing w:line="240" w:lineRule="auto"/>
              <w:jc w:val="both"/>
              <w:rPr>
                <w:sz w:val="21"/>
                <w:szCs w:val="21"/>
              </w:rPr>
            </w:pPr>
          </w:p>
        </w:tc>
        <w:tc>
          <w:tcPr>
            <w:tcW w:w="1149" w:type="dxa"/>
            <w:tcBorders>
              <w:top w:val="single" w:sz="4" w:space="0" w:color="000000"/>
              <w:left w:val="single" w:sz="4" w:space="0" w:color="000000"/>
              <w:bottom w:val="single" w:sz="4" w:space="0" w:color="000000"/>
              <w:right w:val="single" w:sz="4" w:space="0" w:color="000000"/>
            </w:tcBorders>
          </w:tcPr>
          <w:p w14:paraId="72D8F38A" w14:textId="77777777" w:rsidR="00DF4AEC" w:rsidRDefault="001916CF">
            <w:pPr>
              <w:spacing w:line="240" w:lineRule="auto"/>
              <w:jc w:val="both"/>
              <w:rPr>
                <w:sz w:val="15"/>
                <w:szCs w:val="15"/>
              </w:rPr>
            </w:pPr>
            <w:r>
              <w:rPr>
                <w:sz w:val="15"/>
                <w:szCs w:val="15"/>
              </w:rPr>
              <w:t>OMS</w:t>
            </w:r>
          </w:p>
        </w:tc>
        <w:tc>
          <w:tcPr>
            <w:tcW w:w="1149" w:type="dxa"/>
            <w:tcBorders>
              <w:top w:val="single" w:sz="4" w:space="0" w:color="000000"/>
              <w:left w:val="single" w:sz="4" w:space="0" w:color="000000"/>
              <w:bottom w:val="single" w:sz="4" w:space="0" w:color="000000"/>
              <w:right w:val="single" w:sz="4" w:space="0" w:color="000000"/>
            </w:tcBorders>
          </w:tcPr>
          <w:p w14:paraId="0803D831" w14:textId="77777777" w:rsidR="00DF4AEC" w:rsidRDefault="001916CF">
            <w:pPr>
              <w:spacing w:line="240" w:lineRule="auto"/>
              <w:rPr>
                <w:sz w:val="15"/>
                <w:szCs w:val="15"/>
              </w:rPr>
            </w:pPr>
            <w:r>
              <w:rPr>
                <w:rFonts w:ascii="Times New Roman" w:eastAsia="Times New Roman" w:hAnsi="Times New Roman" w:cs="Times New Roman"/>
                <w:i/>
                <w:sz w:val="15"/>
                <w:szCs w:val="15"/>
              </w:rPr>
              <w:t>DPR RI</w:t>
            </w:r>
          </w:p>
        </w:tc>
      </w:tr>
    </w:tbl>
    <w:p w14:paraId="354183AC" w14:textId="77777777" w:rsidR="00DF4AEC" w:rsidRDefault="00DF4AEC">
      <w:pPr>
        <w:spacing w:after="180" w:line="274" w:lineRule="auto"/>
        <w:jc w:val="both"/>
        <w:rPr>
          <w:sz w:val="21"/>
          <w:szCs w:val="21"/>
        </w:rPr>
      </w:pPr>
    </w:p>
    <w:p w14:paraId="2D652B30" w14:textId="77777777" w:rsidR="00DF4AEC" w:rsidRDefault="00DF4AEC"/>
    <w:sectPr w:rsidR="00DF4AEC">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D62BD" w14:textId="77777777" w:rsidR="00D973C9" w:rsidRDefault="00D973C9">
      <w:pPr>
        <w:spacing w:line="240" w:lineRule="auto"/>
      </w:pPr>
      <w:r>
        <w:separator/>
      </w:r>
    </w:p>
  </w:endnote>
  <w:endnote w:type="continuationSeparator" w:id="0">
    <w:p w14:paraId="590E52A4" w14:textId="77777777" w:rsidR="00D973C9" w:rsidRDefault="00D973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0DF08" w14:textId="77777777" w:rsidR="00D973C9" w:rsidRDefault="00D973C9">
      <w:pPr>
        <w:spacing w:line="240" w:lineRule="auto"/>
      </w:pPr>
      <w:r>
        <w:separator/>
      </w:r>
    </w:p>
  </w:footnote>
  <w:footnote w:type="continuationSeparator" w:id="0">
    <w:p w14:paraId="24D3A3CD" w14:textId="77777777" w:rsidR="00D973C9" w:rsidRDefault="00D973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D3B30" w14:textId="77777777" w:rsidR="00DF4AEC" w:rsidRDefault="00DF4A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33759"/>
    <w:multiLevelType w:val="multilevel"/>
    <w:tmpl w:val="1A06A9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2CAB"/>
    <w:multiLevelType w:val="multilevel"/>
    <w:tmpl w:val="A7807A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391C3770"/>
    <w:multiLevelType w:val="multilevel"/>
    <w:tmpl w:val="E8CA2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435F619B"/>
    <w:multiLevelType w:val="multilevel"/>
    <w:tmpl w:val="93BC2B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62F1898"/>
    <w:multiLevelType w:val="multilevel"/>
    <w:tmpl w:val="6764F5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5D0A16D1"/>
    <w:multiLevelType w:val="multilevel"/>
    <w:tmpl w:val="E57C6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E004FC0"/>
    <w:multiLevelType w:val="multilevel"/>
    <w:tmpl w:val="5DC6E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AEC"/>
    <w:rsid w:val="00031224"/>
    <w:rsid w:val="00037B1A"/>
    <w:rsid w:val="000463F3"/>
    <w:rsid w:val="00064A47"/>
    <w:rsid w:val="00076B70"/>
    <w:rsid w:val="000819D4"/>
    <w:rsid w:val="00086B2E"/>
    <w:rsid w:val="000F6E9C"/>
    <w:rsid w:val="00147862"/>
    <w:rsid w:val="00155A97"/>
    <w:rsid w:val="00165155"/>
    <w:rsid w:val="001916CF"/>
    <w:rsid w:val="001B5078"/>
    <w:rsid w:val="001F3552"/>
    <w:rsid w:val="00201E34"/>
    <w:rsid w:val="00243E17"/>
    <w:rsid w:val="00275596"/>
    <w:rsid w:val="002C041C"/>
    <w:rsid w:val="002D7F2F"/>
    <w:rsid w:val="00302770"/>
    <w:rsid w:val="003373A7"/>
    <w:rsid w:val="003729AA"/>
    <w:rsid w:val="00457A79"/>
    <w:rsid w:val="004C5D35"/>
    <w:rsid w:val="00573A68"/>
    <w:rsid w:val="005B70BA"/>
    <w:rsid w:val="005C594A"/>
    <w:rsid w:val="005E15CF"/>
    <w:rsid w:val="0061396F"/>
    <w:rsid w:val="00617F23"/>
    <w:rsid w:val="00627328"/>
    <w:rsid w:val="00664814"/>
    <w:rsid w:val="0069330D"/>
    <w:rsid w:val="00714B39"/>
    <w:rsid w:val="00775DAA"/>
    <w:rsid w:val="007A59D0"/>
    <w:rsid w:val="007A7BB0"/>
    <w:rsid w:val="00837195"/>
    <w:rsid w:val="008C42A2"/>
    <w:rsid w:val="008F0830"/>
    <w:rsid w:val="00936244"/>
    <w:rsid w:val="00945A07"/>
    <w:rsid w:val="00970399"/>
    <w:rsid w:val="009F7BD8"/>
    <w:rsid w:val="00A05B1D"/>
    <w:rsid w:val="00A51A4B"/>
    <w:rsid w:val="00AA292A"/>
    <w:rsid w:val="00B163DB"/>
    <w:rsid w:val="00B46410"/>
    <w:rsid w:val="00B826D5"/>
    <w:rsid w:val="00BA75C4"/>
    <w:rsid w:val="00BB25D7"/>
    <w:rsid w:val="00BD57BE"/>
    <w:rsid w:val="00BF2D7D"/>
    <w:rsid w:val="00C6767D"/>
    <w:rsid w:val="00C91D52"/>
    <w:rsid w:val="00C9761E"/>
    <w:rsid w:val="00CC154F"/>
    <w:rsid w:val="00CC5221"/>
    <w:rsid w:val="00D26C91"/>
    <w:rsid w:val="00D3292A"/>
    <w:rsid w:val="00D9142F"/>
    <w:rsid w:val="00D973C9"/>
    <w:rsid w:val="00DB6388"/>
    <w:rsid w:val="00DD52B5"/>
    <w:rsid w:val="00DF4AEC"/>
    <w:rsid w:val="00E20571"/>
    <w:rsid w:val="00E31030"/>
    <w:rsid w:val="00E85650"/>
    <w:rsid w:val="00E85655"/>
    <w:rsid w:val="00E928CA"/>
    <w:rsid w:val="00EA7454"/>
    <w:rsid w:val="00EB2F00"/>
    <w:rsid w:val="00EB47E8"/>
    <w:rsid w:val="00ED0A08"/>
    <w:rsid w:val="00F41C02"/>
    <w:rsid w:val="00FE120C"/>
    <w:rsid w:val="00FE75E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2C005"/>
  <w15:docId w15:val="{A656F3C2-9492-4B00-B7EB-98C7537D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ID"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GNYnVI5L6K7cBlVjMihlGLvKoA==">AMUW2mVtxXabY7k1BWMCY41uG8UbGBvg0L05CWME6YKoRg5LQl4+jQ30uY4aLxDVYCrddKt4ezBtEfIi4j5m6VpHvQl7oLsC37ToTJIGHVqPaDUXmNP9tqxBIYyBwCF6tZdCxS3IETE98Xcg8NVoB4STHqmg/ClCCT6Y593IxznaHjeGsQojWrk=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2305</Words>
  <Characters>13145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Andrieta Rafaela</cp:lastModifiedBy>
  <cp:revision>72</cp:revision>
  <dcterms:created xsi:type="dcterms:W3CDTF">2022-12-05T23:28:00Z</dcterms:created>
  <dcterms:modified xsi:type="dcterms:W3CDTF">2022-12-06T04:42:00Z</dcterms:modified>
</cp:coreProperties>
</file>