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page" w:tblpX="4378" w:tblpY="1505"/>
        <w:tblOverlap w:val="never"/>
        <w:tblW w:w="10426" w:type="dxa"/>
        <w:tblLook w:val="04A0" w:firstRow="1" w:lastRow="0" w:firstColumn="1" w:lastColumn="0" w:noHBand="0" w:noVBand="1"/>
      </w:tblPr>
      <w:tblGrid>
        <w:gridCol w:w="539"/>
        <w:gridCol w:w="1551"/>
        <w:gridCol w:w="950"/>
        <w:gridCol w:w="2240"/>
        <w:gridCol w:w="2240"/>
        <w:gridCol w:w="1551"/>
        <w:gridCol w:w="2029"/>
      </w:tblGrid>
      <w:tr w:rsidR="004570F2" w:rsidRPr="00EC6399" w:rsidTr="00115886">
        <w:trPr>
          <w:tblHeader/>
        </w:trPr>
        <w:tc>
          <w:tcPr>
            <w:tcW w:w="539" w:type="dxa"/>
            <w:shd w:val="clear" w:color="auto" w:fill="FBE4D5" w:themeFill="accent2" w:themeFillTint="33"/>
            <w:vAlign w:val="center"/>
          </w:tcPr>
          <w:p w:rsidR="002A11FF" w:rsidRPr="00EC6399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1551" w:type="dxa"/>
            <w:shd w:val="clear" w:color="auto" w:fill="FBE4D5" w:themeFill="accent2" w:themeFillTint="33"/>
            <w:vAlign w:val="center"/>
          </w:tcPr>
          <w:p w:rsidR="002A11FF" w:rsidRPr="00EC6399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>Ukuran</w:t>
            </w:r>
            <w:proofErr w:type="spellEnd"/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Keberhasilan</w:t>
            </w:r>
          </w:p>
        </w:tc>
        <w:tc>
          <w:tcPr>
            <w:tcW w:w="950" w:type="dxa"/>
            <w:shd w:val="clear" w:color="auto" w:fill="FBE4D5" w:themeFill="accent2" w:themeFillTint="33"/>
            <w:vAlign w:val="center"/>
          </w:tcPr>
          <w:p w:rsidR="002A11FF" w:rsidRPr="00EC6399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>Stake-</w:t>
            </w:r>
          </w:p>
          <w:p w:rsidR="002A11FF" w:rsidRPr="00EC6399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>holders</w:t>
            </w:r>
          </w:p>
        </w:tc>
        <w:tc>
          <w:tcPr>
            <w:tcW w:w="2240" w:type="dxa"/>
            <w:shd w:val="clear" w:color="auto" w:fill="FBE4D5" w:themeFill="accent2" w:themeFillTint="33"/>
            <w:vAlign w:val="center"/>
          </w:tcPr>
          <w:p w:rsidR="002A11FF" w:rsidRPr="002A11FF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11FF">
              <w:rPr>
                <w:rFonts w:ascii="Arial" w:hAnsi="Arial" w:cs="Arial"/>
                <w:b/>
                <w:sz w:val="20"/>
                <w:szCs w:val="20"/>
              </w:rPr>
              <w:t>B06</w:t>
            </w:r>
          </w:p>
        </w:tc>
        <w:tc>
          <w:tcPr>
            <w:tcW w:w="2240" w:type="dxa"/>
            <w:shd w:val="clear" w:color="auto" w:fill="FBE4D5" w:themeFill="accent2" w:themeFillTint="33"/>
            <w:vAlign w:val="center"/>
          </w:tcPr>
          <w:p w:rsidR="002A11FF" w:rsidRPr="00EC6399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b/>
                <w:sz w:val="20"/>
                <w:szCs w:val="20"/>
                <w:lang w:val="en-US"/>
              </w:rPr>
              <w:t>B12</w:t>
            </w:r>
          </w:p>
        </w:tc>
        <w:tc>
          <w:tcPr>
            <w:tcW w:w="1551" w:type="dxa"/>
            <w:shd w:val="clear" w:color="auto" w:fill="FBE4D5" w:themeFill="accent2" w:themeFillTint="33"/>
            <w:vAlign w:val="center"/>
          </w:tcPr>
          <w:p w:rsidR="002A11FF" w:rsidRPr="002A11FF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b/>
                <w:sz w:val="20"/>
                <w:szCs w:val="20"/>
                <w:lang w:val="en-US"/>
              </w:rPr>
              <w:t>B18</w:t>
            </w:r>
          </w:p>
        </w:tc>
        <w:tc>
          <w:tcPr>
            <w:tcW w:w="1355" w:type="dxa"/>
            <w:shd w:val="clear" w:color="auto" w:fill="FBE4D5" w:themeFill="accent2" w:themeFillTint="33"/>
            <w:vAlign w:val="center"/>
          </w:tcPr>
          <w:p w:rsidR="002A11FF" w:rsidRPr="002A11FF" w:rsidRDefault="002A11FF" w:rsidP="002A11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B24 </w:t>
            </w:r>
          </w:p>
        </w:tc>
      </w:tr>
      <w:tr w:rsidR="004570F2" w:rsidRPr="00EC6399" w:rsidTr="00115886">
        <w:trPr>
          <w:trHeight w:val="1177"/>
          <w:tblHeader/>
        </w:trPr>
        <w:tc>
          <w:tcPr>
            <w:tcW w:w="539" w:type="dxa"/>
            <w:vMerge w:val="restart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1.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1D18">
              <w:rPr>
                <w:rFonts w:ascii="Arial" w:hAnsi="Arial" w:cs="Arial"/>
                <w:sz w:val="20"/>
                <w:szCs w:val="20"/>
                <w:lang w:val="en-US"/>
              </w:rPr>
              <w:t xml:space="preserve">Peraturan Pemerintah </w:t>
            </w: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mengenai </w:t>
            </w:r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 terkait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mekanisme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koordinasi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antara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lembaga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PDP dengan K/L</w:t>
            </w: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Kominfo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Konsultasi/penjaringan masukan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</w:t>
            </w:r>
            <w:r w:rsidR="005E04B1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PDP yang </w:t>
            </w:r>
            <w:proofErr w:type="spellStart"/>
            <w:r w:rsidR="005E04B1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5E04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terkait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mekanisme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koordinasi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antara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PDP 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dengan K/L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Konsultasi/penjaringan masukan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 terkait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mekanisme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koordinasi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antara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PDP 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dengan K/L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Tersusunnya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ancangan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</w:t>
            </w:r>
          </w:p>
        </w:tc>
        <w:tc>
          <w:tcPr>
            <w:tcW w:w="1355" w:type="dxa"/>
            <w:shd w:val="clear" w:color="auto" w:fill="auto"/>
          </w:tcPr>
          <w:p w:rsidR="004570F2" w:rsidRPr="002A11FF" w:rsidRDefault="002A11FF" w:rsidP="004570F2">
            <w:pPr>
              <w:ind w:left="-2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Tersedianya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Pemerintah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mengenai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70F2">
              <w:rPr>
                <w:rFonts w:ascii="Arial" w:hAnsi="Arial" w:cs="Arial"/>
                <w:sz w:val="20"/>
                <w:szCs w:val="20"/>
              </w:rPr>
              <w:t xml:space="preserve">Lembaga PDP </w:t>
            </w:r>
          </w:p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0F2" w:rsidRPr="00EC6399" w:rsidTr="00115886">
        <w:trPr>
          <w:trHeight w:val="1177"/>
          <w:tblHeader/>
        </w:trPr>
        <w:tc>
          <w:tcPr>
            <w:tcW w:w="539" w:type="dxa"/>
            <w:vMerge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Tifa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Keterlibatan dalam konsultasi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untuk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memberikan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masukan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mekanisme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koordinasi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antara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570F2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dengan K/L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4570F2" w:rsidP="002A11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Tersedianya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rekomendasi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pengaturan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mekanisme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koordinasi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antara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Lembaga PDP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K/L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Terlibat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uji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570F2">
              <w:rPr>
                <w:rFonts w:ascii="Arial" w:hAnsi="Arial" w:cs="Arial"/>
                <w:sz w:val="20"/>
                <w:szCs w:val="20"/>
              </w:rPr>
              <w:t>Ra</w:t>
            </w:r>
            <w:r w:rsidRPr="002A11FF">
              <w:rPr>
                <w:rFonts w:ascii="Arial" w:hAnsi="Arial" w:cs="Arial"/>
                <w:sz w:val="20"/>
                <w:szCs w:val="20"/>
              </w:rPr>
              <w:t>ncangan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Pemerintah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mengenai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70F2">
              <w:rPr>
                <w:rFonts w:ascii="Arial" w:hAnsi="Arial" w:cs="Arial"/>
                <w:sz w:val="20"/>
                <w:szCs w:val="20"/>
              </w:rPr>
              <w:t xml:space="preserve">Lembaga </w:t>
            </w:r>
            <w:r w:rsidRPr="002A11FF">
              <w:rPr>
                <w:rFonts w:ascii="Arial" w:hAnsi="Arial" w:cs="Arial"/>
                <w:sz w:val="20"/>
                <w:szCs w:val="20"/>
              </w:rPr>
              <w:t>PDP</w:t>
            </w:r>
          </w:p>
        </w:tc>
        <w:tc>
          <w:tcPr>
            <w:tcW w:w="1355" w:type="dxa"/>
            <w:shd w:val="clear" w:color="auto" w:fill="auto"/>
          </w:tcPr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Tersedianya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tanggapan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masukan </w:t>
            </w:r>
          </w:p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atas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Peraturan Pemerintah yang </w:t>
            </w:r>
          </w:p>
          <w:p w:rsidR="002A11FF" w:rsidRPr="002A11FF" w:rsidRDefault="004232BC" w:rsidP="004232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tersusun</w:t>
            </w:r>
            <w:proofErr w:type="spellEnd"/>
          </w:p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0F2" w:rsidRPr="00EC6399" w:rsidTr="00115886">
        <w:trPr>
          <w:trHeight w:val="1008"/>
          <w:tblHeader/>
        </w:trPr>
        <w:tc>
          <w:tcPr>
            <w:tcW w:w="539" w:type="dxa"/>
            <w:vMerge w:val="restart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0757D">
              <w:rPr>
                <w:rFonts w:ascii="Arial" w:hAnsi="Arial" w:cs="Arial"/>
                <w:sz w:val="20"/>
                <w:szCs w:val="20"/>
                <w:lang w:val="en-US"/>
              </w:rPr>
              <w:t xml:space="preserve">peraturan </w:t>
            </w:r>
            <w:proofErr w:type="spellStart"/>
            <w:r w:rsidR="0030757D"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 w:rsidR="0030757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mengenai pengendali data gabunga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Kominfo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996FBE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Konsultasi/penjaringan masukan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 </w:t>
            </w:r>
          </w:p>
        </w:tc>
        <w:tc>
          <w:tcPr>
            <w:tcW w:w="2240" w:type="dxa"/>
            <w:shd w:val="clear" w:color="auto" w:fill="auto"/>
          </w:tcPr>
          <w:p w:rsidR="002A11FF" w:rsidRDefault="00996FBE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Konsultasi/penjaringan masukan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</w:t>
            </w:r>
          </w:p>
          <w:p w:rsidR="00996FBE" w:rsidRPr="002A11FF" w:rsidRDefault="00996FBE" w:rsidP="002A11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2A11FF" w:rsidRPr="002A11FF" w:rsidRDefault="0030757D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Tersusunnya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ancangan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</w:t>
            </w:r>
          </w:p>
        </w:tc>
        <w:tc>
          <w:tcPr>
            <w:tcW w:w="1355" w:type="dxa"/>
            <w:shd w:val="clear" w:color="auto" w:fill="auto"/>
          </w:tcPr>
          <w:p w:rsidR="0030757D" w:rsidRPr="002A11FF" w:rsidRDefault="0030757D" w:rsidP="003075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</w:t>
            </w:r>
          </w:p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0F2" w:rsidRPr="00EC6399" w:rsidTr="00115886">
        <w:trPr>
          <w:trHeight w:val="1008"/>
          <w:tblHeader/>
        </w:trPr>
        <w:tc>
          <w:tcPr>
            <w:tcW w:w="539" w:type="dxa"/>
            <w:vMerge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Tifa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30757D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Keterlibatan dalam konsultasi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untuk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memberikan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masukan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30757D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rekomendasi untuk penyusunan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30757D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Terlibat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dalam uji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rancangan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</w:t>
            </w:r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 xml:space="preserve">eraturan </w:t>
            </w:r>
            <w:proofErr w:type="spellStart"/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 </w:t>
            </w:r>
          </w:p>
        </w:tc>
        <w:tc>
          <w:tcPr>
            <w:tcW w:w="1355" w:type="dxa"/>
            <w:shd w:val="clear" w:color="auto" w:fill="auto"/>
          </w:tcPr>
          <w:p w:rsidR="00432162" w:rsidRPr="002A11FF" w:rsidRDefault="00432162" w:rsidP="004321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tanggapan/masukan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atas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teknis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pengendali data gabungan </w:t>
            </w:r>
          </w:p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0F2" w:rsidRPr="00EC6399" w:rsidTr="00115886">
        <w:trPr>
          <w:trHeight w:val="1177"/>
          <w:tblHeader/>
        </w:trPr>
        <w:tc>
          <w:tcPr>
            <w:tcW w:w="539" w:type="dxa"/>
            <w:vMerge w:val="restart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4321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terkait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pe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Le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mbaga PDP dalam </w:t>
            </w:r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melakukan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pemenuhan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persyaratan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transfer data pribadi ke luar negeri </w:t>
            </w: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Kominfo</w:t>
            </w:r>
          </w:p>
        </w:tc>
        <w:tc>
          <w:tcPr>
            <w:tcW w:w="2240" w:type="dxa"/>
            <w:shd w:val="clear" w:color="auto" w:fill="auto"/>
          </w:tcPr>
          <w:p w:rsidR="00344CC4" w:rsidRPr="002A11FF" w:rsidRDefault="002A11FF" w:rsidP="00344C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Konsultasi</w:t>
            </w:r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/penjaringan masukan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terkait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peran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PDP dalam melakukan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pemenuhan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persyaratan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 xml:space="preserve"> transfer data pribadi ke luar negeri 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344CC4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Konsultasi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/penjaringan masukan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terkait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peran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PDP dalam melakukan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pemenuhan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persyaratan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transfer data pribadi ke luar negeri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Tersusunnya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44CC4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ancangan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lembaga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PDP </w:t>
            </w:r>
          </w:p>
        </w:tc>
        <w:tc>
          <w:tcPr>
            <w:tcW w:w="1355" w:type="dxa"/>
            <w:shd w:val="clear" w:color="auto" w:fill="auto"/>
          </w:tcPr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Tersedianya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Pemerintah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mengenai</w:t>
            </w:r>
            <w:proofErr w:type="spellEnd"/>
            <w:r w:rsidR="00344C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</w:t>
            </w:r>
          </w:p>
          <w:p w:rsidR="004232BC" w:rsidRPr="002A11FF" w:rsidRDefault="002A11FF" w:rsidP="004232BC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PDP </w:t>
            </w:r>
          </w:p>
          <w:p w:rsidR="002A11FF" w:rsidRPr="002A11FF" w:rsidRDefault="002A11FF" w:rsidP="002A11FF">
            <w:pPr>
              <w:ind w:left="-25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0F2" w:rsidRPr="00EC6399" w:rsidTr="00115886">
        <w:trPr>
          <w:trHeight w:val="1177"/>
          <w:tblHeader/>
        </w:trPr>
        <w:tc>
          <w:tcPr>
            <w:tcW w:w="539" w:type="dxa"/>
            <w:vMerge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Tifa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Keterlibatan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konsultasi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memberikan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masukan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terhadap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konsepsi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Pemerintah </w:t>
            </w:r>
            <w:r w:rsidR="004232BC"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mengenai </w:t>
            </w:r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Lembaga PDP yang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mengatur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terkait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peran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PDP dalam melakukan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pemenuhan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persyaratan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transfer data pribadi ke luar negeri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4232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Tersedianya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rekomendasi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pengaturan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peran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Lembaga PDP dalam melakukan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terhadap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pemenuhan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persyaratan</w:t>
            </w:r>
            <w:proofErr w:type="spellEnd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 xml:space="preserve"> transfer data pribadi ke luar negeri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Terlibat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dalam uji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publik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>ancangan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Pemerintah mengenai </w:t>
            </w:r>
            <w:r w:rsidR="004232BC">
              <w:rPr>
                <w:rFonts w:ascii="Arial" w:hAnsi="Arial" w:cs="Arial"/>
                <w:sz w:val="20"/>
                <w:szCs w:val="20"/>
                <w:lang w:val="en-US"/>
              </w:rPr>
              <w:t>Le</w:t>
            </w:r>
            <w:r w:rsidRPr="002A11FF">
              <w:rPr>
                <w:rFonts w:ascii="Arial" w:hAnsi="Arial" w:cs="Arial"/>
                <w:sz w:val="20"/>
                <w:szCs w:val="20"/>
                <w:lang w:val="en-US"/>
              </w:rPr>
              <w:t xml:space="preserve">mbaga PDP </w:t>
            </w:r>
          </w:p>
        </w:tc>
        <w:tc>
          <w:tcPr>
            <w:tcW w:w="1355" w:type="dxa"/>
            <w:shd w:val="clear" w:color="auto" w:fill="auto"/>
          </w:tcPr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Tersedianya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tanggapan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masukan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atas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Pemerintah yang </w:t>
            </w:r>
          </w:p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tersusun</w:t>
            </w:r>
            <w:proofErr w:type="spellEnd"/>
          </w:p>
        </w:tc>
      </w:tr>
      <w:tr w:rsidR="004570F2" w:rsidRPr="00EC6399" w:rsidTr="00115886">
        <w:trPr>
          <w:trHeight w:val="2016"/>
          <w:tblHeader/>
        </w:trPr>
        <w:tc>
          <w:tcPr>
            <w:tcW w:w="539" w:type="dxa"/>
            <w:vMerge w:val="restart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4.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forum diskusi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multipihak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dalam membahas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perkembangan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proses penyusunan peraturan </w:t>
            </w:r>
            <w:proofErr w:type="spellStart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pelaksana</w:t>
            </w:r>
            <w:proofErr w:type="spellEnd"/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 xml:space="preserve"> UU PDP</w:t>
            </w: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Kominfo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Adanya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pembahasan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mengenai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perkembangan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proses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penyusunan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pelaksanaa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UU PDP</w:t>
            </w:r>
          </w:p>
        </w:tc>
        <w:tc>
          <w:tcPr>
            <w:tcW w:w="1551" w:type="dxa"/>
            <w:shd w:val="clear" w:color="auto" w:fill="auto"/>
          </w:tcPr>
          <w:p w:rsidR="002A11FF" w:rsidRPr="002A11FF" w:rsidRDefault="002A11FF" w:rsidP="002A11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Adanya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pembahasan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mengenai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perkembangan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proses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penyusunan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peraturan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hAnsi="Arial" w:cs="Arial"/>
                <w:sz w:val="20"/>
                <w:szCs w:val="20"/>
              </w:rPr>
              <w:t>pelaksanaa</w:t>
            </w:r>
            <w:proofErr w:type="spellEnd"/>
            <w:r w:rsidRPr="002A11FF">
              <w:rPr>
                <w:rFonts w:ascii="Arial" w:hAnsi="Arial" w:cs="Arial"/>
                <w:sz w:val="20"/>
                <w:szCs w:val="20"/>
              </w:rPr>
              <w:t xml:space="preserve"> UU PDP</w:t>
            </w:r>
          </w:p>
        </w:tc>
        <w:tc>
          <w:tcPr>
            <w:tcW w:w="1355" w:type="dxa"/>
            <w:shd w:val="clear" w:color="auto" w:fill="auto"/>
          </w:tcPr>
          <w:p w:rsidR="002A11FF" w:rsidRPr="002A11FF" w:rsidRDefault="002A11FF" w:rsidP="002A11FF">
            <w:pPr>
              <w:ind w:left="-4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proofErr w:type="spellStart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Adanya</w:t>
            </w:r>
            <w:proofErr w:type="spellEnd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A11FF" w:rsidRPr="002A11FF" w:rsidRDefault="002A11FF" w:rsidP="002A11FF">
            <w:pPr>
              <w:ind w:left="-4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proofErr w:type="spellStart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pembahasan</w:t>
            </w:r>
            <w:proofErr w:type="spellEnd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mengenai</w:t>
            </w:r>
            <w:proofErr w:type="spellEnd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A11FF" w:rsidRPr="002A11FF" w:rsidRDefault="002A11FF" w:rsidP="002A11FF">
            <w:pPr>
              <w:ind w:left="-4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proofErr w:type="spellStart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persiapan</w:t>
            </w:r>
            <w:proofErr w:type="spellEnd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implementasi</w:t>
            </w:r>
            <w:proofErr w:type="spellEnd"/>
          </w:p>
          <w:p w:rsidR="002A11FF" w:rsidRPr="002A11FF" w:rsidRDefault="002A11FF" w:rsidP="002A11FF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  <w:r w:rsidRPr="002A11FF">
              <w:rPr>
                <w:rFonts w:ascii="Arial" w:eastAsia="Cambria" w:hAnsi="Arial" w:cs="Arial"/>
                <w:color w:val="000000"/>
                <w:sz w:val="20"/>
                <w:szCs w:val="20"/>
              </w:rPr>
              <w:t>UU PDP</w:t>
            </w:r>
          </w:p>
        </w:tc>
      </w:tr>
      <w:tr w:rsidR="004570F2" w:rsidRPr="00EC6399" w:rsidTr="00115886">
        <w:trPr>
          <w:trHeight w:val="2016"/>
          <w:tblHeader/>
        </w:trPr>
        <w:tc>
          <w:tcPr>
            <w:tcW w:w="539" w:type="dxa"/>
            <w:vMerge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2A11FF" w:rsidRPr="00EC6399" w:rsidRDefault="002A11F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399">
              <w:rPr>
                <w:rFonts w:ascii="Arial" w:hAnsi="Arial" w:cs="Arial"/>
                <w:sz w:val="20"/>
                <w:szCs w:val="20"/>
                <w:lang w:val="en-US"/>
              </w:rPr>
              <w:t>Tifa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01791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penjaringan masukan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kelompok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sektor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privat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mengenai proses dan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substansi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peraturan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pelaksana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UU Perlindungan Data Pribadi</w:t>
            </w:r>
          </w:p>
        </w:tc>
        <w:tc>
          <w:tcPr>
            <w:tcW w:w="2240" w:type="dxa"/>
            <w:shd w:val="clear" w:color="auto" w:fill="auto"/>
          </w:tcPr>
          <w:p w:rsidR="002A11FF" w:rsidRPr="002A11FF" w:rsidRDefault="0001791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forum diskusi </w:t>
            </w:r>
            <w:proofErr w:type="spellStart"/>
            <w:r w:rsidR="00996FBE">
              <w:rPr>
                <w:rFonts w:ascii="Arial" w:hAnsi="Arial" w:cs="Arial"/>
                <w:sz w:val="20"/>
                <w:szCs w:val="20"/>
                <w:lang w:val="en-US"/>
              </w:rPr>
              <w:t>pertama</w:t>
            </w:r>
            <w:proofErr w:type="spellEnd"/>
            <w:r w:rsidR="00996FB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dengan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melibatkan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pemerintah,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sektor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privat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dan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</w:p>
        </w:tc>
        <w:tc>
          <w:tcPr>
            <w:tcW w:w="1551" w:type="dxa"/>
            <w:shd w:val="clear" w:color="auto" w:fill="auto"/>
          </w:tcPr>
          <w:p w:rsidR="002A11FF" w:rsidRPr="002A11FF" w:rsidRDefault="0001791F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forum diskusi </w:t>
            </w:r>
            <w:r w:rsidR="00996FBE">
              <w:rPr>
                <w:rFonts w:ascii="Arial" w:hAnsi="Arial" w:cs="Arial"/>
                <w:sz w:val="20"/>
                <w:szCs w:val="20"/>
                <w:lang w:val="en-US"/>
              </w:rPr>
              <w:t>kedua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dengan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melibatkan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pemerintah,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sektor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privat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dan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</w:p>
        </w:tc>
        <w:tc>
          <w:tcPr>
            <w:tcW w:w="1355" w:type="dxa"/>
            <w:shd w:val="clear" w:color="auto" w:fill="auto"/>
          </w:tcPr>
          <w:p w:rsidR="002A11FF" w:rsidRPr="002A11FF" w:rsidRDefault="00996FBE" w:rsidP="002A11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forum diskusi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ketiga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dengan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melibatkan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pemerintah,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sektor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privat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d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</w:p>
        </w:tc>
      </w:tr>
    </w:tbl>
    <w:p w:rsidR="00687076" w:rsidRPr="00EC6399" w:rsidRDefault="002A11F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textWrapping" w:clear="all"/>
      </w:r>
    </w:p>
    <w:sectPr w:rsidR="00687076" w:rsidRPr="00EC6399" w:rsidSect="002A11FF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8C1" w:rsidRDefault="00E018C1" w:rsidP="002A11FF">
      <w:pPr>
        <w:spacing w:after="0" w:line="240" w:lineRule="auto"/>
      </w:pPr>
      <w:r>
        <w:separator/>
      </w:r>
    </w:p>
  </w:endnote>
  <w:endnote w:type="continuationSeparator" w:id="0">
    <w:p w:rsidR="00E018C1" w:rsidRDefault="00E018C1" w:rsidP="002A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8C1" w:rsidRDefault="00E018C1" w:rsidP="002A11FF">
      <w:pPr>
        <w:spacing w:after="0" w:line="240" w:lineRule="auto"/>
      </w:pPr>
      <w:r>
        <w:separator/>
      </w:r>
    </w:p>
  </w:footnote>
  <w:footnote w:type="continuationSeparator" w:id="0">
    <w:p w:rsidR="00E018C1" w:rsidRDefault="00E018C1" w:rsidP="002A1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1FF" w:rsidRPr="0038042C" w:rsidRDefault="002A11FF" w:rsidP="002A11FF">
    <w:pPr>
      <w:spacing w:after="0" w:line="276" w:lineRule="auto"/>
      <w:contextualSpacing/>
      <w:rPr>
        <w:rFonts w:ascii="Arial" w:hAnsi="Arial" w:cs="Arial"/>
        <w:sz w:val="20"/>
        <w:szCs w:val="20"/>
        <w:lang w:val="en-US"/>
      </w:rPr>
    </w:pPr>
  </w:p>
  <w:p w:rsidR="002A11FF" w:rsidRDefault="00F82817">
    <w:pPr>
      <w:pStyle w:val="Header"/>
    </w:pPr>
    <w:r w:rsidRPr="00F82817">
      <w:rPr>
        <w:rFonts w:ascii="Arial" w:hAnsi="Arial" w:cs="Arial"/>
        <w:b/>
        <w:noProof/>
        <w:sz w:val="20"/>
        <w:szCs w:val="20"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1690370</wp:posOffset>
              </wp:positionH>
              <wp:positionV relativeFrom="paragraph">
                <wp:posOffset>297180</wp:posOffset>
              </wp:positionV>
              <wp:extent cx="6930390" cy="834390"/>
              <wp:effectExtent l="0" t="0" r="22860" b="2286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0390" cy="834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817" w:rsidRDefault="00F82817" w:rsidP="00F8281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EC639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Matriks Target Capaian RAN OGI VII 2023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–</w:t>
                          </w:r>
                          <w:r w:rsidRPr="00EC639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2024</w:t>
                          </w:r>
                        </w:p>
                        <w:p w:rsidR="00F82817" w:rsidRDefault="00F82817" w:rsidP="00F82817">
                          <w:pPr>
                            <w:spacing w:after="0" w:line="276" w:lineRule="auto"/>
                            <w:contextualSpacing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Judul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Mengawal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Implementasi dan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Perumusan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Perlindungan Data Pribadi</w:t>
                          </w:r>
                        </w:p>
                        <w:p w:rsidR="00F82817" w:rsidRDefault="00F82817" w:rsidP="00F82817">
                          <w:pPr>
                            <w:spacing w:after="0" w:line="276" w:lineRule="auto"/>
                            <w:contextualSpacing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  <w:r w:rsidRPr="0038042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Kementerian/Lembaga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  <w:t xml:space="preserve">: Kementerian Komunikasi dan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Informatika</w:t>
                          </w:r>
                          <w:proofErr w:type="spellEnd"/>
                        </w:p>
                        <w:p w:rsidR="00F82817" w:rsidRDefault="00F82817" w:rsidP="00F82817">
                          <w:pPr>
                            <w:spacing w:after="0" w:line="276" w:lineRule="auto"/>
                            <w:contextualSpacing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  <w:r w:rsidRPr="0038042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en-US"/>
                            </w:rPr>
                            <w:t>OMS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ab/>
                            <w:t>: Yayasan TIFA</w:t>
                          </w:r>
                        </w:p>
                        <w:p w:rsidR="00F82817" w:rsidRDefault="00F8281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3.1pt;margin-top:23.4pt;width:545.7pt;height:6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WRiIgIAAEYEAAAOAAAAZHJzL2Uyb0RvYy54bWysU9tu2zAMfR+wfxD0vthxkrYx4hRdugwD&#10;ugvQ7gNkWY6FSaImKbG7ry8lp2l2exmmB4EUqUPykFxdD1qRg3BegqnodJJTIgyHRppdRb8+bN9c&#10;UeIDMw1TYERFH4Wn1+vXr1a9LUUBHahGOIIgxpe9rWgXgi2zzPNOaOYnYIVBYwtOs4Cq22WNYz2i&#10;a5UVeX6R9eAa64AL7/H1djTSdcJvW8HD57b1IhBVUcwtpNulu453tl6xcueY7SQ/psH+IQvNpMGg&#10;J6hbFhjZO/kblJbcgYc2TDjoDNpWcpFqwGqm+S/V3HfMilQLkuPtiSb//2D5p8MXR2RT0WJ6SYlh&#10;Gpv0IIZA3sJAishPb32JbvcWHcOAz9jnVKu3d8C/eWJg0zGzEzfOQd8J1mB+0/gzO/s64vgIUvcf&#10;ocEwbB8gAQ2t05E8pIMgOvbp8dSbmArHx4vlLJ8t0cTRdjWbRzmGYOXzb+t8eC9AkyhU1GHvEzo7&#10;3Pkwuj67xGAelGy2UqmkuF29UY4cGM7JNp0j+k9uypC+ostFsRgJ+CtEns6fILQMOPBKaqzi5MTK&#10;SNs702CarAxMqlHG6pQ58hipG0kMQz2gYyS3huYRGXUwDjYuIgoduB+U9DjUFfXf98wJStQHg11Z&#10;TufzuAVJmS8uC1TcuaU+tzDDEaqigZJR3IS0OTFHAzfYvVYmYl8yOeaKw5pac1ysuA3nevJ6Wf/1&#10;EwAAAP//AwBQSwMEFAAGAAgAAAAhAMhVx6TgAAAACwEAAA8AAABkcnMvZG93bnJldi54bWxMj8FO&#10;wzAMhu9IvENkJC6IpXQjLaXphJBAcIOB4Jo1WVuROCXJuvL2eCe42fKn399fr2dn2WRCHDxKuFpk&#10;wAy2Xg/YSXh/e7gsgcWkUCvr0Uj4MRHWzelJrSrtD/hqpk3qGIVgrJSEPqWx4jy2vXEqLvxokG47&#10;H5xKtIaO66AOFO4sz7NMcKcGpA+9Gs19b9qvzd5JKFdP02d8Xr58tGJnb9JFMT1+BynPz+a7W2DJ&#10;zOkPhqM+qUNDTlu/Rx2ZlZALkRMqYSWowhFYXhcC2JamosyBNzX/36H5BQAA//8DAFBLAQItABQA&#10;BgAIAAAAIQC2gziS/gAAAOEBAAATAAAAAAAAAAAAAAAAAAAAAABbQ29udGVudF9UeXBlc10ueG1s&#10;UEsBAi0AFAAGAAgAAAAhADj9If/WAAAAlAEAAAsAAAAAAAAAAAAAAAAALwEAAF9yZWxzLy5yZWxz&#10;UEsBAi0AFAAGAAgAAAAhAF6ZZGIiAgAARgQAAA4AAAAAAAAAAAAAAAAALgIAAGRycy9lMm9Eb2Mu&#10;eG1sUEsBAi0AFAAGAAgAAAAhAMhVx6TgAAAACwEAAA8AAAAAAAAAAAAAAAAAfAQAAGRycy9kb3du&#10;cmV2LnhtbFBLBQYAAAAABAAEAPMAAACJBQAAAAA=&#10;">
              <v:textbox>
                <w:txbxContent>
                  <w:p w:rsidR="00F82817" w:rsidRDefault="00F82817" w:rsidP="00F82817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r w:rsidRPr="00EC6399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Matriks Target Capaian RAN OGI VII 2023 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–</w:t>
                    </w:r>
                    <w:r w:rsidRPr="00EC6399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 xml:space="preserve"> 2024</w:t>
                    </w:r>
                  </w:p>
                  <w:p w:rsidR="00F82817" w:rsidRDefault="00F82817" w:rsidP="00F82817">
                    <w:pPr>
                      <w:spacing w:after="0" w:line="276" w:lineRule="auto"/>
                      <w:contextualSpacing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Judul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: </w:t>
                    </w:r>
                    <w:proofErr w:type="spellStart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Mengawal</w:t>
                    </w:r>
                    <w:proofErr w:type="spellEnd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Implementasi dan </w:t>
                    </w:r>
                    <w:proofErr w:type="spellStart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Perumusan</w:t>
                    </w:r>
                    <w:proofErr w:type="spellEnd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Perlindungan Data Pribadi</w:t>
                    </w:r>
                  </w:p>
                  <w:p w:rsidR="00F82817" w:rsidRDefault="00F82817" w:rsidP="00F82817">
                    <w:pPr>
                      <w:spacing w:after="0" w:line="276" w:lineRule="auto"/>
                      <w:contextualSpacing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  <w:r w:rsidRPr="0038042C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Kementerian/Lembaga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  <w:t xml:space="preserve">: Kementerian Komunikasi dan </w:t>
                    </w:r>
                    <w:proofErr w:type="spellStart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Informatika</w:t>
                    </w:r>
                    <w:proofErr w:type="spellEnd"/>
                  </w:p>
                  <w:p w:rsidR="00F82817" w:rsidRDefault="00F82817" w:rsidP="00F82817">
                    <w:pPr>
                      <w:spacing w:after="0" w:line="276" w:lineRule="auto"/>
                      <w:contextualSpacing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  <w:r w:rsidRPr="0038042C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OMS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ab/>
                      <w:t>: Yayasan TIFA</w:t>
                    </w:r>
                  </w:p>
                  <w:p w:rsidR="00F82817" w:rsidRDefault="00F82817"/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F5"/>
    <w:rsid w:val="0001791F"/>
    <w:rsid w:val="000B13B2"/>
    <w:rsid w:val="000B13FA"/>
    <w:rsid w:val="00115886"/>
    <w:rsid w:val="001707C3"/>
    <w:rsid w:val="001E6B14"/>
    <w:rsid w:val="002231CF"/>
    <w:rsid w:val="002A11FF"/>
    <w:rsid w:val="002D53EC"/>
    <w:rsid w:val="002F1D18"/>
    <w:rsid w:val="0030757D"/>
    <w:rsid w:val="003208F0"/>
    <w:rsid w:val="00344CC4"/>
    <w:rsid w:val="0038042C"/>
    <w:rsid w:val="003D2487"/>
    <w:rsid w:val="004232BC"/>
    <w:rsid w:val="00432162"/>
    <w:rsid w:val="004570F2"/>
    <w:rsid w:val="00564ABC"/>
    <w:rsid w:val="005E04B1"/>
    <w:rsid w:val="00642BCB"/>
    <w:rsid w:val="00687076"/>
    <w:rsid w:val="00842F15"/>
    <w:rsid w:val="008D725E"/>
    <w:rsid w:val="00950CB4"/>
    <w:rsid w:val="00996FBE"/>
    <w:rsid w:val="009C4815"/>
    <w:rsid w:val="00A56BF5"/>
    <w:rsid w:val="00D47EA9"/>
    <w:rsid w:val="00D820F4"/>
    <w:rsid w:val="00DA3F57"/>
    <w:rsid w:val="00E018C1"/>
    <w:rsid w:val="00E7296B"/>
    <w:rsid w:val="00EC6399"/>
    <w:rsid w:val="00F23BA2"/>
    <w:rsid w:val="00F23CCF"/>
    <w:rsid w:val="00F4016C"/>
    <w:rsid w:val="00F82817"/>
    <w:rsid w:val="00FC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13BF1"/>
  <w15:chartTrackingRefBased/>
  <w15:docId w15:val="{A8882B80-22F0-4D7C-BEF1-9ECB5CED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1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1FF"/>
  </w:style>
  <w:style w:type="paragraph" w:styleId="Footer">
    <w:name w:val="footer"/>
    <w:basedOn w:val="Normal"/>
    <w:link w:val="FooterChar"/>
    <w:uiPriority w:val="99"/>
    <w:unhideWhenUsed/>
    <w:rsid w:val="002A11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2022-12-07T10:07:00Z</dcterms:created>
  <dcterms:modified xsi:type="dcterms:W3CDTF">2022-12-07T10:07:00Z</dcterms:modified>
</cp:coreProperties>
</file>